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4BA4A" w14:textId="77777777" w:rsidR="00FE5963" w:rsidRPr="005F1574" w:rsidRDefault="0C4B27AE" w:rsidP="0C4B27AE">
      <w:pPr>
        <w:pStyle w:val="Nadpis1"/>
        <w:rPr>
          <w:lang w:val="sk-SK"/>
        </w:rPr>
      </w:pPr>
      <w:r w:rsidRPr="0C4B27AE">
        <w:rPr>
          <w:lang w:val="sk-SK"/>
        </w:rPr>
        <w:t>Checklist pre strategickú prioritu Manažment údajov</w:t>
      </w:r>
    </w:p>
    <w:p w14:paraId="6AE192B1" w14:textId="77777777" w:rsidR="004B513E" w:rsidRDefault="49F1502B" w:rsidP="49F1502B">
      <w:pPr>
        <w:rPr>
          <w:lang w:val="sk-SK"/>
        </w:rPr>
      </w:pPr>
      <w:r w:rsidRPr="49F1502B">
        <w:rPr>
          <w:lang w:val="sk-SK"/>
        </w:rPr>
        <w:t>Nasledujúci kontrolný list poskytuje návod:</w:t>
      </w:r>
    </w:p>
    <w:p w14:paraId="6AC580C4" w14:textId="77777777" w:rsidR="004B513E" w:rsidRDefault="004B513E" w:rsidP="49F1502B">
      <w:pPr>
        <w:pStyle w:val="Odsekzoznamu"/>
        <w:numPr>
          <w:ilvl w:val="0"/>
          <w:numId w:val="5"/>
        </w:numPr>
        <w:ind w:left="450" w:hanging="450"/>
        <w:rPr>
          <w:lang w:val="sk-SK"/>
        </w:rPr>
      </w:pPr>
      <w:r w:rsidRPr="06A90D0C">
        <w:rPr>
          <w:lang w:val="sk-SK"/>
        </w:rPr>
        <w:t>pre spracovateľ</w:t>
      </w:r>
      <w:r>
        <w:rPr>
          <w:lang w:val="sk-SK"/>
        </w:rPr>
        <w:t>a</w:t>
      </w:r>
      <w:r w:rsidRPr="06A90D0C">
        <w:rPr>
          <w:lang w:val="sk-SK"/>
        </w:rPr>
        <w:t xml:space="preserve"> štúdie uskutočniteľnosti projektu informatizácie</w:t>
      </w:r>
      <w:r>
        <w:rPr>
          <w:lang w:val="sk-SK"/>
        </w:rPr>
        <w:t>, ktorý pokrýva spracovanie údajov</w:t>
      </w:r>
      <w:r w:rsidRPr="06A90D0C">
        <w:rPr>
          <w:lang w:val="sk-SK"/>
        </w:rPr>
        <w:t xml:space="preserve"> tak, aby bolo navrhované riešenie v súlade so strategickou prioritou Manažment údajov,</w:t>
      </w:r>
      <w:r>
        <w:rPr>
          <w:rStyle w:val="Odkaznapoznmkupodiarou"/>
        </w:rPr>
        <w:footnoteReference w:id="1"/>
      </w:r>
    </w:p>
    <w:p w14:paraId="66214210" w14:textId="77777777" w:rsidR="004B513E" w:rsidRDefault="49F1502B" w:rsidP="49F1502B">
      <w:pPr>
        <w:pStyle w:val="Odsekzoznamu"/>
        <w:numPr>
          <w:ilvl w:val="0"/>
          <w:numId w:val="5"/>
        </w:numPr>
        <w:ind w:left="450" w:hanging="450"/>
        <w:rPr>
          <w:lang w:val="sk-SK"/>
        </w:rPr>
      </w:pPr>
      <w:bookmarkStart w:id="0" w:name="_GoBack"/>
      <w:bookmarkEnd w:id="0"/>
      <w:r w:rsidRPr="49F1502B">
        <w:rPr>
          <w:lang w:val="sk-SK"/>
        </w:rPr>
        <w:t xml:space="preserve">pre hodnotiteľov štúdií uskutočniteľnosti.  </w:t>
      </w:r>
    </w:p>
    <w:p w14:paraId="17ACEE6F" w14:textId="725B3DB6" w:rsidR="006709CD" w:rsidRPr="00DA46DE" w:rsidRDefault="49F1502B" w:rsidP="00C31E52">
      <w:pPr>
        <w:pStyle w:val="Nadpis2"/>
        <w:rPr>
          <w:lang w:val="sk-SK"/>
        </w:rPr>
      </w:pPr>
      <w:r w:rsidRPr="00DA46DE">
        <w:rPr>
          <w:lang w:val="sk-SK"/>
        </w:rPr>
        <w:t>Štúdie uskutočniteľnosti</w:t>
      </w:r>
    </w:p>
    <w:p w14:paraId="315B6282" w14:textId="0744C774" w:rsidR="00B05BA4" w:rsidRPr="00B05BA4" w:rsidRDefault="49F1502B" w:rsidP="49F1502B">
      <w:pPr>
        <w:rPr>
          <w:lang w:val="sk-SK"/>
        </w:rPr>
      </w:pPr>
      <w:r w:rsidRPr="49F1502B">
        <w:rPr>
          <w:lang w:val="sk-SK"/>
        </w:rPr>
        <w:t>Kontrolný list je členený podľa kapitol štúdie uskutočniteľnosti (vo vzťahu k budúcemu stavu).</w:t>
      </w:r>
    </w:p>
    <w:p w14:paraId="33900EF9" w14:textId="20D1F02F" w:rsidR="001B0C66" w:rsidRDefault="49F1502B" w:rsidP="49F1502B">
      <w:pPr>
        <w:pStyle w:val="Nadpis3"/>
        <w:rPr>
          <w:lang w:val="sk-SK"/>
        </w:rPr>
      </w:pPr>
      <w:r w:rsidRPr="49F1502B">
        <w:rPr>
          <w:lang w:val="sk-SK"/>
        </w:rPr>
        <w:t>Manažérske zhrnutie</w:t>
      </w:r>
    </w:p>
    <w:p w14:paraId="30F7FA17" w14:textId="7DDA3781" w:rsidR="00EF2262" w:rsidRPr="004B513E" w:rsidRDefault="49F1502B" w:rsidP="49F1502B">
      <w:pPr>
        <w:rPr>
          <w:lang w:val="sk-SK"/>
        </w:rPr>
      </w:pPr>
      <w:r w:rsidRPr="49F1502B">
        <w:rPr>
          <w:lang w:val="sk-SK"/>
        </w:rPr>
        <w:t>Manažérske zhrnutie v štúdii uskutočniteľnosti dáva sumárny pohľad na tému a vysvetľuje navrhované riešenie. Malo by byť písané štýlom, ktorému porozumie široká odborná verejnosť, ako aj politická reprezentácia. Z pohľadu SP Manažmentu údajov je dôležité, aby sa v manažérskom zhrnutí jasne komunikovali posolstvá a princípy a predpokladaný projekt sa prihlásil k vízii štátu fungujúceho na základe využívania znalostí.</w:t>
      </w:r>
    </w:p>
    <w:tbl>
      <w:tblPr>
        <w:tblStyle w:val="Mriekatabuky"/>
        <w:tblW w:w="5000" w:type="pct"/>
        <w:tblLook w:val="04A0" w:firstRow="1" w:lastRow="0" w:firstColumn="1" w:lastColumn="0" w:noHBand="0" w:noVBand="1"/>
        <w:tblCaption w:val=""/>
        <w:tblDescription w:val=""/>
      </w:tblPr>
      <w:tblGrid>
        <w:gridCol w:w="1340"/>
        <w:gridCol w:w="1145"/>
        <w:gridCol w:w="5700"/>
        <w:gridCol w:w="1165"/>
      </w:tblGrid>
      <w:tr w:rsidR="004B513E" w:rsidRPr="001B0C66" w14:paraId="7058651D" w14:textId="76F2D029" w:rsidTr="0C4B27AE">
        <w:trPr>
          <w:tblHeader/>
        </w:trPr>
        <w:tc>
          <w:tcPr>
            <w:tcW w:w="717" w:type="pct"/>
            <w:shd w:val="clear" w:color="auto" w:fill="DEEAF6" w:themeFill="accent5" w:themeFillTint="33"/>
          </w:tcPr>
          <w:p w14:paraId="15D2BFE9" w14:textId="0C6C9485" w:rsidR="004B513E" w:rsidRPr="005F1574" w:rsidRDefault="49F1502B" w:rsidP="49F1502B">
            <w:pPr>
              <w:rPr>
                <w:color w:val="1F4E79"/>
                <w:lang w:val="sk-SK"/>
              </w:rPr>
            </w:pPr>
            <w:r w:rsidRPr="49F1502B">
              <w:rPr>
                <w:color w:val="1F4E79"/>
                <w:lang w:val="sk-SK"/>
              </w:rPr>
              <w:t>Oblasť</w:t>
            </w:r>
          </w:p>
        </w:tc>
        <w:tc>
          <w:tcPr>
            <w:tcW w:w="612" w:type="pct"/>
            <w:shd w:val="clear" w:color="auto" w:fill="DEEAF6" w:themeFill="accent5" w:themeFillTint="33"/>
          </w:tcPr>
          <w:p w14:paraId="223DFA40" w14:textId="172C33FA" w:rsidR="004B513E" w:rsidRPr="005F1574" w:rsidRDefault="49F1502B" w:rsidP="49F1502B">
            <w:pPr>
              <w:rPr>
                <w:color w:val="1F4E79"/>
                <w:lang w:val="sk-SK"/>
              </w:rPr>
            </w:pPr>
            <w:r w:rsidRPr="49F1502B">
              <w:rPr>
                <w:color w:val="1F4E79"/>
                <w:lang w:val="sk-SK"/>
              </w:rPr>
              <w:t>Miera záväznosti</w:t>
            </w:r>
          </w:p>
        </w:tc>
        <w:tc>
          <w:tcPr>
            <w:tcW w:w="3048" w:type="pct"/>
            <w:shd w:val="clear" w:color="auto" w:fill="DEEAF6" w:themeFill="accent5" w:themeFillTint="33"/>
          </w:tcPr>
          <w:p w14:paraId="3EB63D3F" w14:textId="2957E700" w:rsidR="004B513E" w:rsidRPr="005F1574" w:rsidRDefault="49F1502B" w:rsidP="49F1502B">
            <w:pPr>
              <w:rPr>
                <w:color w:val="1F4E79"/>
                <w:lang w:val="sk-SK"/>
              </w:rPr>
            </w:pPr>
            <w:r w:rsidRPr="49F1502B">
              <w:rPr>
                <w:color w:val="1F4E79"/>
                <w:lang w:val="sk-SK"/>
              </w:rPr>
              <w:t>Kontrolované kritérium</w:t>
            </w:r>
          </w:p>
        </w:tc>
        <w:tc>
          <w:tcPr>
            <w:tcW w:w="623" w:type="pct"/>
            <w:shd w:val="clear" w:color="auto" w:fill="DEEAF6" w:themeFill="accent5" w:themeFillTint="33"/>
          </w:tcPr>
          <w:p w14:paraId="5C289A0C" w14:textId="7EB8752B" w:rsidR="004B513E" w:rsidRDefault="49F1502B" w:rsidP="49F1502B">
            <w:pPr>
              <w:rPr>
                <w:color w:val="1F4E79"/>
                <w:lang w:val="sk-SK"/>
              </w:rPr>
            </w:pPr>
            <w:r w:rsidRPr="49F1502B">
              <w:rPr>
                <w:color w:val="1F4E79"/>
                <w:lang w:val="sk-SK"/>
              </w:rPr>
              <w:t>Áno</w:t>
            </w:r>
            <w:r w:rsidRPr="49F1502B">
              <w:rPr>
                <w:color w:val="1F4E79"/>
              </w:rPr>
              <w:t>/Nie</w:t>
            </w:r>
          </w:p>
        </w:tc>
      </w:tr>
      <w:tr w:rsidR="004B513E" w:rsidRPr="001B0C66" w14:paraId="39809691" w14:textId="15FF07AD" w:rsidTr="0C4B27AE">
        <w:tc>
          <w:tcPr>
            <w:tcW w:w="717" w:type="pct"/>
            <w:vMerge w:val="restart"/>
          </w:tcPr>
          <w:p w14:paraId="3C71C282" w14:textId="3884D604" w:rsidR="004B513E" w:rsidRPr="001B0C66" w:rsidRDefault="49F1502B" w:rsidP="49F1502B">
            <w:pPr>
              <w:rPr>
                <w:lang w:val="sk-SK"/>
              </w:rPr>
            </w:pPr>
            <w:r w:rsidRPr="49F1502B">
              <w:rPr>
                <w:lang w:val="sk-SK"/>
              </w:rPr>
              <w:t>Vízia manažmentu údajov</w:t>
            </w:r>
          </w:p>
          <w:p w14:paraId="39A2E3C1" w14:textId="77777777" w:rsidR="004B513E" w:rsidRDefault="004B513E" w:rsidP="003346CB">
            <w:pPr>
              <w:rPr>
                <w:lang w:val="sk-SK"/>
              </w:rPr>
            </w:pPr>
          </w:p>
          <w:p w14:paraId="39082C2B" w14:textId="0188AB6E" w:rsidR="004B513E" w:rsidRDefault="004B513E" w:rsidP="003346CB">
            <w:pPr>
              <w:rPr>
                <w:lang w:val="sk-SK"/>
              </w:rPr>
            </w:pPr>
          </w:p>
          <w:p w14:paraId="32B0AEB3" w14:textId="09934B49" w:rsidR="004B513E" w:rsidRPr="001B0C66" w:rsidRDefault="004B513E" w:rsidP="003346CB">
            <w:pPr>
              <w:rPr>
                <w:lang w:val="sk-SK"/>
              </w:rPr>
            </w:pPr>
          </w:p>
        </w:tc>
        <w:tc>
          <w:tcPr>
            <w:tcW w:w="612" w:type="pct"/>
          </w:tcPr>
          <w:p w14:paraId="0A2BF177" w14:textId="129329A1" w:rsidR="004B513E" w:rsidRPr="001B0C66" w:rsidRDefault="49F1502B" w:rsidP="49F1502B">
            <w:pPr>
              <w:rPr>
                <w:lang w:val="sk-SK"/>
              </w:rPr>
            </w:pPr>
            <w:r w:rsidRPr="49F1502B">
              <w:rPr>
                <w:lang w:val="sk-SK"/>
              </w:rPr>
              <w:t>Povinné</w:t>
            </w:r>
          </w:p>
        </w:tc>
        <w:tc>
          <w:tcPr>
            <w:tcW w:w="3048" w:type="pct"/>
          </w:tcPr>
          <w:p w14:paraId="52DB134F" w14:textId="52D0DED8" w:rsidR="004B513E" w:rsidRPr="001B0C66" w:rsidRDefault="49F1502B" w:rsidP="49F1502B">
            <w:pPr>
              <w:rPr>
                <w:lang w:val="sk-SK"/>
              </w:rPr>
            </w:pPr>
            <w:r w:rsidRPr="49F1502B">
              <w:rPr>
                <w:lang w:val="sk-SK"/>
              </w:rPr>
              <w:t>Každý nový projekt by mal v rámci rozsahu a pokrytia riešenej agendy zabezpečiť realizáciu princípu „jeden-krát a  dosť“. Realizácia tohto princípu musí byť okrem úrovne informatickej (dátová integrácia) zabezpečená aj na úrovni metodickej a legislatívnej. V manažérskom zhrnutí sa realizácia princípu „jeden-krát a dosť“ musí explicitne spomenúť v plnom rozsahu.</w:t>
            </w:r>
          </w:p>
        </w:tc>
        <w:tc>
          <w:tcPr>
            <w:tcW w:w="623" w:type="pct"/>
          </w:tcPr>
          <w:p w14:paraId="73D6234E" w14:textId="77777777" w:rsidR="004B513E" w:rsidRPr="54CE20B3" w:rsidRDefault="004B513E" w:rsidP="54CE20B3">
            <w:pPr>
              <w:rPr>
                <w:lang w:val="sk-SK"/>
              </w:rPr>
            </w:pPr>
          </w:p>
        </w:tc>
      </w:tr>
      <w:tr w:rsidR="004B513E" w14:paraId="61E23B8E" w14:textId="23BB4679" w:rsidTr="0C4B27AE">
        <w:tc>
          <w:tcPr>
            <w:tcW w:w="717" w:type="pct"/>
            <w:vMerge/>
          </w:tcPr>
          <w:p w14:paraId="12F5249E" w14:textId="77777777" w:rsidR="004B513E" w:rsidRDefault="004B513E"/>
        </w:tc>
        <w:tc>
          <w:tcPr>
            <w:tcW w:w="612" w:type="pct"/>
          </w:tcPr>
          <w:p w14:paraId="1E395380" w14:textId="2A970E08" w:rsidR="004B513E" w:rsidRDefault="49F1502B" w:rsidP="49F1502B">
            <w:pPr>
              <w:rPr>
                <w:lang w:val="sk-SK"/>
              </w:rPr>
            </w:pPr>
            <w:r w:rsidRPr="49F1502B">
              <w:rPr>
                <w:lang w:val="sk-SK"/>
              </w:rPr>
              <w:t>Povinné</w:t>
            </w:r>
          </w:p>
        </w:tc>
        <w:tc>
          <w:tcPr>
            <w:tcW w:w="3048" w:type="pct"/>
          </w:tcPr>
          <w:p w14:paraId="49CB04C3" w14:textId="7BE650FD" w:rsidR="004B513E" w:rsidRDefault="0C4B27AE" w:rsidP="02C14962">
            <w:pPr>
              <w:rPr>
                <w:lang w:val="sk-SK"/>
              </w:rPr>
            </w:pPr>
            <w:r w:rsidRPr="0C4B27AE">
              <w:rPr>
                <w:rFonts w:eastAsia="Times New Roman" w:cs="Times New Roman"/>
                <w:lang w:val="sk-SK"/>
              </w:rPr>
              <w:t>Deklarácia: Z dôvodu zabezpečenia požadovanej interoperability riešenia s ostatnými ISVS Slovenskej republiky ako aj odporúčaniami Európskej komisie pre interoperabilitu informačných systémov verejnej správy (ISA), bude nový projekt používať na popis svojich údajov Centrálny model údajov verejnej správy založený na ontológiach, a súčasne na identifikáciu objektov budú použité registrované a schválené URI identifikátory v Centrálnom metainformačnom systéme.</w:t>
            </w:r>
          </w:p>
        </w:tc>
        <w:tc>
          <w:tcPr>
            <w:tcW w:w="623" w:type="pct"/>
          </w:tcPr>
          <w:p w14:paraId="628B57BD" w14:textId="77777777" w:rsidR="004B513E" w:rsidRPr="5B7DB757" w:rsidRDefault="004B513E" w:rsidP="5B7DB757">
            <w:pPr>
              <w:rPr>
                <w:lang w:val="sk-SK"/>
              </w:rPr>
            </w:pPr>
          </w:p>
        </w:tc>
      </w:tr>
      <w:tr w:rsidR="00824812" w14:paraId="6B6FB639" w14:textId="77777777" w:rsidTr="0C4B27AE">
        <w:tc>
          <w:tcPr>
            <w:tcW w:w="717" w:type="pct"/>
          </w:tcPr>
          <w:p w14:paraId="5C7E8A7B" w14:textId="1426157A" w:rsidR="00824812" w:rsidRPr="00824812" w:rsidRDefault="49F1502B" w:rsidP="49F1502B">
            <w:pPr>
              <w:rPr>
                <w:lang w:val="sk-SK"/>
              </w:rPr>
            </w:pPr>
            <w:r w:rsidRPr="49F1502B">
              <w:rPr>
                <w:lang w:val="sk-SK"/>
              </w:rPr>
              <w:t>Vízia pre otvorené údaje</w:t>
            </w:r>
          </w:p>
        </w:tc>
        <w:tc>
          <w:tcPr>
            <w:tcW w:w="612" w:type="pct"/>
          </w:tcPr>
          <w:p w14:paraId="7D9366EC" w14:textId="18BC9E6E" w:rsidR="00824812" w:rsidRPr="486C952F" w:rsidRDefault="49F1502B" w:rsidP="49F1502B">
            <w:pPr>
              <w:rPr>
                <w:lang w:val="sk-SK"/>
              </w:rPr>
            </w:pPr>
            <w:r w:rsidRPr="49F1502B">
              <w:rPr>
                <w:lang w:val="sk-SK"/>
              </w:rPr>
              <w:t>Povinné</w:t>
            </w:r>
          </w:p>
        </w:tc>
        <w:tc>
          <w:tcPr>
            <w:tcW w:w="3048" w:type="pct"/>
          </w:tcPr>
          <w:p w14:paraId="1AE06E90" w14:textId="0492BBDC" w:rsidR="00824812" w:rsidRPr="00824812" w:rsidRDefault="49F1502B" w:rsidP="49F1502B">
            <w:pPr>
              <w:rPr>
                <w:lang w:val="sk-SK"/>
              </w:rPr>
            </w:pPr>
            <w:r w:rsidRPr="49F1502B">
              <w:rPr>
                <w:lang w:val="sk-SK"/>
              </w:rPr>
              <w:t>Všetky údaje, ktoré budú spracované alebo uchovávané v budúcom informačnom prostredí, musia byť poskytované vo formáte otvorených údajov. V prípade objektívnych príčin</w:t>
            </w:r>
            <w:r w:rsidR="00A32CF9">
              <w:rPr>
                <w:lang w:val="sk-SK"/>
              </w:rPr>
              <w:t xml:space="preserve"> (ochrana osobných údajov)</w:t>
            </w:r>
            <w:r w:rsidRPr="49F1502B">
              <w:rPr>
                <w:lang w:val="sk-SK"/>
              </w:rPr>
              <w:t>, ktoré zabraňujú zverejneniu údajov otvoreným spôsobom, musia byť tieto príčiny explicitne popísané pre všetky dotknuté dáta a bude sa nimi zaoberať príslušný kompetentný orgán.</w:t>
            </w:r>
          </w:p>
        </w:tc>
        <w:tc>
          <w:tcPr>
            <w:tcW w:w="623" w:type="pct"/>
          </w:tcPr>
          <w:p w14:paraId="2EFE437C" w14:textId="77777777" w:rsidR="00824812" w:rsidRPr="5B7DB757" w:rsidRDefault="00824812" w:rsidP="5B7DB757">
            <w:pPr>
              <w:rPr>
                <w:lang w:val="sk-SK"/>
              </w:rPr>
            </w:pPr>
          </w:p>
        </w:tc>
      </w:tr>
    </w:tbl>
    <w:p w14:paraId="09897BC3" w14:textId="1E6806D1" w:rsidR="001B0C66" w:rsidRDefault="49F1502B" w:rsidP="49F1502B">
      <w:pPr>
        <w:pStyle w:val="Nadpis3"/>
        <w:rPr>
          <w:lang w:val="sk-SK"/>
        </w:rPr>
      </w:pPr>
      <w:r w:rsidRPr="49F1502B">
        <w:rPr>
          <w:lang w:val="sk-SK"/>
        </w:rPr>
        <w:lastRenderedPageBreak/>
        <w:t>Legislatívna analýza</w:t>
      </w:r>
    </w:p>
    <w:p w14:paraId="3C66BE20" w14:textId="78F15F44" w:rsidR="00CC78D4" w:rsidRPr="00CC78D4" w:rsidRDefault="49F1502B" w:rsidP="49F1502B">
      <w:pPr>
        <w:rPr>
          <w:lang w:val="sk-SK"/>
        </w:rPr>
      </w:pPr>
      <w:r w:rsidRPr="49F1502B">
        <w:rPr>
          <w:lang w:val="sk-SK"/>
        </w:rPr>
        <w:t xml:space="preserve">Každý nový projekt by mal v rámci rozsahu a pokrytia riešenej agendy zabezpečiť realizáciu princípu „jeden-krát a dosť“, ak ide o spracovanie údajov.. Realizácia tohto princípu musí byť okrem úrovne informatickej (dátová integrácia) zabezpečená </w:t>
      </w:r>
      <w:r w:rsidRPr="49F1502B">
        <w:rPr>
          <w:b/>
          <w:bCs/>
          <w:lang w:val="sk-SK"/>
        </w:rPr>
        <w:t>aj na úrovni legislatívnej</w:t>
      </w:r>
      <w:r w:rsidRPr="49F1502B">
        <w:rPr>
          <w:lang w:val="sk-SK"/>
        </w:rPr>
        <w:t>.</w:t>
      </w:r>
    </w:p>
    <w:tbl>
      <w:tblPr>
        <w:tblStyle w:val="Mriekatabuky"/>
        <w:tblW w:w="5000" w:type="pct"/>
        <w:tblLook w:val="04A0" w:firstRow="1" w:lastRow="0" w:firstColumn="1" w:lastColumn="0" w:noHBand="0" w:noVBand="1"/>
      </w:tblPr>
      <w:tblGrid>
        <w:gridCol w:w="1487"/>
        <w:gridCol w:w="1145"/>
        <w:gridCol w:w="5553"/>
        <w:gridCol w:w="1165"/>
      </w:tblGrid>
      <w:tr w:rsidR="004B513E" w:rsidRPr="005F1574" w14:paraId="6FA018C4" w14:textId="0E5ED058" w:rsidTr="0C4B27AE">
        <w:trPr>
          <w:tblHeader/>
        </w:trPr>
        <w:tc>
          <w:tcPr>
            <w:tcW w:w="795" w:type="pct"/>
            <w:shd w:val="clear" w:color="auto" w:fill="DEEAF6" w:themeFill="accent5" w:themeFillTint="33"/>
          </w:tcPr>
          <w:p w14:paraId="2964110A" w14:textId="406E9B57" w:rsidR="004B513E" w:rsidRPr="005F1574" w:rsidRDefault="49F1502B" w:rsidP="49F1502B">
            <w:pPr>
              <w:rPr>
                <w:color w:val="1F4E79"/>
                <w:lang w:val="sk-SK"/>
              </w:rPr>
            </w:pPr>
            <w:r w:rsidRPr="49F1502B">
              <w:rPr>
                <w:color w:val="1F4E79"/>
                <w:lang w:val="sk-SK"/>
              </w:rPr>
              <w:t>Oblasť</w:t>
            </w:r>
          </w:p>
        </w:tc>
        <w:tc>
          <w:tcPr>
            <w:tcW w:w="612" w:type="pct"/>
            <w:shd w:val="clear" w:color="auto" w:fill="DEEAF6" w:themeFill="accent5" w:themeFillTint="33"/>
          </w:tcPr>
          <w:p w14:paraId="7EEE70AA" w14:textId="77777777" w:rsidR="004B513E" w:rsidRPr="005F1574" w:rsidRDefault="49F1502B" w:rsidP="49F1502B">
            <w:pPr>
              <w:rPr>
                <w:color w:val="1F4E79"/>
                <w:lang w:val="sk-SK"/>
              </w:rPr>
            </w:pPr>
            <w:r w:rsidRPr="49F1502B">
              <w:rPr>
                <w:color w:val="1F4E79"/>
                <w:lang w:val="sk-SK"/>
              </w:rPr>
              <w:t>Miera záväznosti</w:t>
            </w:r>
          </w:p>
        </w:tc>
        <w:tc>
          <w:tcPr>
            <w:tcW w:w="2970" w:type="pct"/>
            <w:shd w:val="clear" w:color="auto" w:fill="DEEAF6" w:themeFill="accent5" w:themeFillTint="33"/>
          </w:tcPr>
          <w:p w14:paraId="1C652744" w14:textId="6480A27E" w:rsidR="004B513E" w:rsidRPr="005F1574" w:rsidRDefault="49F1502B" w:rsidP="49F1502B">
            <w:pPr>
              <w:rPr>
                <w:color w:val="1F4E79"/>
                <w:lang w:val="sk-SK"/>
              </w:rPr>
            </w:pPr>
            <w:r w:rsidRPr="49F1502B">
              <w:rPr>
                <w:color w:val="1F4E79"/>
                <w:lang w:val="sk-SK"/>
              </w:rPr>
              <w:t>Kontrolované kritérium</w:t>
            </w:r>
          </w:p>
        </w:tc>
        <w:tc>
          <w:tcPr>
            <w:tcW w:w="623" w:type="pct"/>
            <w:shd w:val="clear" w:color="auto" w:fill="DEEAF6" w:themeFill="accent5" w:themeFillTint="33"/>
          </w:tcPr>
          <w:p w14:paraId="666B6608" w14:textId="6F0E3FC4" w:rsidR="004B513E" w:rsidRPr="06A90D0C" w:rsidRDefault="49F1502B" w:rsidP="49F1502B">
            <w:pPr>
              <w:rPr>
                <w:color w:val="1F4E79"/>
                <w:lang w:val="sk-SK"/>
              </w:rPr>
            </w:pPr>
            <w:r w:rsidRPr="49F1502B">
              <w:rPr>
                <w:color w:val="1F4E79"/>
                <w:lang w:val="sk-SK"/>
              </w:rPr>
              <w:t>Áno</w:t>
            </w:r>
            <w:r w:rsidRPr="49F1502B">
              <w:rPr>
                <w:color w:val="1F4E79"/>
              </w:rPr>
              <w:t>/Nie</w:t>
            </w:r>
          </w:p>
        </w:tc>
      </w:tr>
      <w:tr w:rsidR="004B513E" w:rsidRPr="001B0C66" w14:paraId="39756DF4" w14:textId="79117887" w:rsidTr="0C4B27AE">
        <w:tc>
          <w:tcPr>
            <w:tcW w:w="795" w:type="pct"/>
            <w:vMerge w:val="restart"/>
          </w:tcPr>
          <w:p w14:paraId="61415144" w14:textId="53752B6D" w:rsidR="004B513E" w:rsidRDefault="49F1502B" w:rsidP="49F1502B">
            <w:pPr>
              <w:rPr>
                <w:lang w:val="sk-SK"/>
              </w:rPr>
            </w:pPr>
            <w:r w:rsidRPr="49F1502B">
              <w:rPr>
                <w:lang w:val="sk-SK"/>
              </w:rPr>
              <w:t>Súlad so zákonom č. 305/2013 Z. z. (z</w:t>
            </w:r>
            <w:r>
              <w:t>ákon o e-Governmente</w:t>
            </w:r>
            <w:r w:rsidRPr="49F1502B">
              <w:rPr>
                <w:lang w:val="sk-SK"/>
              </w:rPr>
              <w:t>)</w:t>
            </w:r>
          </w:p>
          <w:p w14:paraId="21D79824" w14:textId="5BEF49C7" w:rsidR="004B513E" w:rsidRPr="001B0C66" w:rsidRDefault="004B513E" w:rsidP="003346CB">
            <w:pPr>
              <w:rPr>
                <w:lang w:val="sk-SK"/>
              </w:rPr>
            </w:pPr>
          </w:p>
        </w:tc>
        <w:tc>
          <w:tcPr>
            <w:tcW w:w="612" w:type="pct"/>
          </w:tcPr>
          <w:p w14:paraId="66F45FEA" w14:textId="28FB077C" w:rsidR="004B513E" w:rsidRPr="001B0C66" w:rsidRDefault="49F1502B" w:rsidP="49F1502B">
            <w:pPr>
              <w:rPr>
                <w:lang w:val="sk-SK"/>
              </w:rPr>
            </w:pPr>
            <w:r w:rsidRPr="49F1502B">
              <w:rPr>
                <w:lang w:val="sk-SK"/>
              </w:rPr>
              <w:t>Povinné</w:t>
            </w:r>
          </w:p>
        </w:tc>
        <w:tc>
          <w:tcPr>
            <w:tcW w:w="2970" w:type="pct"/>
          </w:tcPr>
          <w:p w14:paraId="48106EBF" w14:textId="1C2C92D8" w:rsidR="004B513E" w:rsidRPr="001B0C66" w:rsidRDefault="02C14962" w:rsidP="02C14962">
            <w:pPr>
              <w:rPr>
                <w:lang w:val="sk-SK"/>
              </w:rPr>
            </w:pPr>
            <w:r w:rsidRPr="02C14962">
              <w:rPr>
                <w:b/>
                <w:bCs/>
                <w:lang w:val="sk-SK"/>
              </w:rPr>
              <w:t>Vstup a výstup údajov</w:t>
            </w:r>
            <w:r w:rsidRPr="02C14962">
              <w:rPr>
                <w:lang w:val="sk-SK"/>
              </w:rPr>
              <w:t xml:space="preserve"> - Analyzovať, či legislatíva upravujúca riešenú agendu/oblasť je v súlade so zákonom 305/2013, predovšetkým s §17, ktorý prikazuje realizovať právne úkony, a teda aj získavanie informácií od iných inštitúcií pre účel konania a poskytovanie informácií iným inštitúciám, elektronickou cestou. V prípade nesúladu je nutnou súčasťou schválenia projektu aj návrh novelizácie danej legislatívy, ktorý uvedený nesúlad odstráni.</w:t>
            </w:r>
          </w:p>
        </w:tc>
        <w:tc>
          <w:tcPr>
            <w:tcW w:w="623" w:type="pct"/>
          </w:tcPr>
          <w:p w14:paraId="2E49D5B8" w14:textId="77777777" w:rsidR="004B513E" w:rsidRPr="06A90D0C" w:rsidRDefault="004B513E" w:rsidP="06A90D0C">
            <w:pPr>
              <w:rPr>
                <w:b/>
                <w:bCs/>
                <w:lang w:val="sk-SK"/>
              </w:rPr>
            </w:pPr>
          </w:p>
        </w:tc>
      </w:tr>
      <w:tr w:rsidR="004B513E" w:rsidRPr="001B0C66" w14:paraId="7A4BC2D1" w14:textId="686AEA85" w:rsidTr="0C4B27AE">
        <w:tc>
          <w:tcPr>
            <w:tcW w:w="795" w:type="pct"/>
            <w:vMerge/>
          </w:tcPr>
          <w:p w14:paraId="75B1AC2C" w14:textId="4CF9A63D" w:rsidR="004B513E" w:rsidRDefault="004B513E" w:rsidP="003346CB">
            <w:pPr>
              <w:rPr>
                <w:lang w:val="sk-SK"/>
              </w:rPr>
            </w:pPr>
          </w:p>
        </w:tc>
        <w:tc>
          <w:tcPr>
            <w:tcW w:w="612" w:type="pct"/>
          </w:tcPr>
          <w:p w14:paraId="3C2707AD" w14:textId="13B8830B" w:rsidR="004B513E" w:rsidRPr="001B0C66" w:rsidRDefault="49F1502B" w:rsidP="49F1502B">
            <w:pPr>
              <w:rPr>
                <w:lang w:val="sk-SK"/>
              </w:rPr>
            </w:pPr>
            <w:r w:rsidRPr="49F1502B">
              <w:rPr>
                <w:lang w:val="sk-SK"/>
              </w:rPr>
              <w:t>Povinné</w:t>
            </w:r>
          </w:p>
        </w:tc>
        <w:tc>
          <w:tcPr>
            <w:tcW w:w="2970" w:type="pct"/>
          </w:tcPr>
          <w:p w14:paraId="405E3CB5" w14:textId="2BAAA1CA" w:rsidR="004B513E" w:rsidRPr="001B0C66" w:rsidRDefault="0C4B27AE" w:rsidP="0C4B27AE">
            <w:pPr>
              <w:rPr>
                <w:lang w:val="sk-SK"/>
              </w:rPr>
            </w:pPr>
            <w:r w:rsidRPr="0C4B27AE">
              <w:rPr>
                <w:b/>
                <w:bCs/>
                <w:lang w:val="sk-SK"/>
              </w:rPr>
              <w:t xml:space="preserve">Referenčné údaje v správe inštitúcie </w:t>
            </w:r>
            <w:r w:rsidRPr="0C4B27AE">
              <w:rPr>
                <w:lang w:val="sk-SK"/>
              </w:rPr>
              <w:t>- Analyzovať, či legislatíva upravujúca riešenú agendu/oblasť umožňuje aktualizovať údaje spracovávané v informačnom systéme aj na základe výsledku procesu referencovania a stotožňovania podľa §49-55 zákona 305/2013. V prípade, že existujúca legislatíva neumožňuje aplikovať uvedené paragrafy, je nutnou súčasťou projektu aj návrh novelizácie danej legislatívy, ktorý umožní aplikovať §49-55.</w:t>
            </w:r>
          </w:p>
        </w:tc>
        <w:tc>
          <w:tcPr>
            <w:tcW w:w="623" w:type="pct"/>
          </w:tcPr>
          <w:p w14:paraId="68B3E14E" w14:textId="77777777" w:rsidR="004B513E" w:rsidRPr="5B7DB757" w:rsidRDefault="004B513E" w:rsidP="5B7DB757">
            <w:pPr>
              <w:rPr>
                <w:b/>
                <w:bCs/>
                <w:lang w:val="sk-SK"/>
              </w:rPr>
            </w:pPr>
          </w:p>
        </w:tc>
      </w:tr>
    </w:tbl>
    <w:p w14:paraId="18AE6871" w14:textId="2EB69B72" w:rsidR="54CE20B3" w:rsidRDefault="49F1502B" w:rsidP="49F1502B">
      <w:pPr>
        <w:pStyle w:val="Nadpis3"/>
        <w:rPr>
          <w:lang w:val="sk-SK"/>
        </w:rPr>
      </w:pPr>
      <w:r w:rsidRPr="49F1502B">
        <w:rPr>
          <w:lang w:val="sk-SK"/>
        </w:rPr>
        <w:t>Motivačná analýza</w:t>
      </w:r>
    </w:p>
    <w:p w14:paraId="2E7627A0" w14:textId="6A99472F" w:rsidR="00B05BA4" w:rsidRPr="00B05BA4" w:rsidRDefault="49F1502B" w:rsidP="49F1502B">
      <w:pPr>
        <w:rPr>
          <w:lang w:val="sk-SK"/>
        </w:rPr>
      </w:pPr>
      <w:r w:rsidRPr="49F1502B">
        <w:rPr>
          <w:lang w:val="sk-SK"/>
        </w:rPr>
        <w:t>V rámci motivačnej analýzy je dôležité správne nastaviť ciele projektu a prínos projektu k zadefinovaným merateľným ukazovateľom.</w:t>
      </w:r>
    </w:p>
    <w:tbl>
      <w:tblPr>
        <w:tblStyle w:val="Mriekatabuky"/>
        <w:tblW w:w="0" w:type="auto"/>
        <w:tblLook w:val="04A0" w:firstRow="1" w:lastRow="0" w:firstColumn="1" w:lastColumn="0" w:noHBand="0" w:noVBand="1"/>
        <w:tblCaption w:val=""/>
        <w:tblDescription w:val=""/>
      </w:tblPr>
      <w:tblGrid>
        <w:gridCol w:w="1112"/>
        <w:gridCol w:w="1520"/>
        <w:gridCol w:w="5598"/>
        <w:gridCol w:w="1120"/>
      </w:tblGrid>
      <w:tr w:rsidR="004B513E" w14:paraId="680760FB" w14:textId="70829ACF" w:rsidTr="0C4B27AE">
        <w:tc>
          <w:tcPr>
            <w:tcW w:w="1112" w:type="dxa"/>
            <w:shd w:val="clear" w:color="auto" w:fill="DEEAF6" w:themeFill="accent5" w:themeFillTint="33"/>
          </w:tcPr>
          <w:p w14:paraId="7A4CC093" w14:textId="77777777" w:rsidR="004B513E" w:rsidRDefault="49F1502B" w:rsidP="49F1502B">
            <w:pPr>
              <w:rPr>
                <w:color w:val="1F4E79"/>
                <w:lang w:val="sk-SK"/>
              </w:rPr>
            </w:pPr>
            <w:r w:rsidRPr="49F1502B">
              <w:rPr>
                <w:color w:val="1F4E79"/>
                <w:lang w:val="sk-SK"/>
              </w:rPr>
              <w:t>Oblasť</w:t>
            </w:r>
          </w:p>
        </w:tc>
        <w:tc>
          <w:tcPr>
            <w:tcW w:w="1520" w:type="dxa"/>
            <w:shd w:val="clear" w:color="auto" w:fill="DEEAF6" w:themeFill="accent5" w:themeFillTint="33"/>
          </w:tcPr>
          <w:p w14:paraId="0A102DBA" w14:textId="77777777" w:rsidR="004B513E" w:rsidRDefault="49F1502B" w:rsidP="49F1502B">
            <w:pPr>
              <w:rPr>
                <w:color w:val="1F4E79"/>
                <w:lang w:val="sk-SK"/>
              </w:rPr>
            </w:pPr>
            <w:r w:rsidRPr="49F1502B">
              <w:rPr>
                <w:color w:val="1F4E79"/>
                <w:lang w:val="sk-SK"/>
              </w:rPr>
              <w:t>Miera záväznosti</w:t>
            </w:r>
          </w:p>
        </w:tc>
        <w:tc>
          <w:tcPr>
            <w:tcW w:w="5598" w:type="dxa"/>
            <w:shd w:val="clear" w:color="auto" w:fill="DEEAF6" w:themeFill="accent5" w:themeFillTint="33"/>
          </w:tcPr>
          <w:p w14:paraId="4304FF46" w14:textId="29B9E376" w:rsidR="004B513E" w:rsidRDefault="49F1502B" w:rsidP="49F1502B">
            <w:pPr>
              <w:rPr>
                <w:color w:val="1F4E79"/>
                <w:lang w:val="sk-SK"/>
              </w:rPr>
            </w:pPr>
            <w:r w:rsidRPr="49F1502B">
              <w:rPr>
                <w:color w:val="1F4E79"/>
                <w:lang w:val="sk-SK"/>
              </w:rPr>
              <w:t>Kontrolované kritérium</w:t>
            </w:r>
          </w:p>
        </w:tc>
        <w:tc>
          <w:tcPr>
            <w:tcW w:w="1120" w:type="dxa"/>
            <w:shd w:val="clear" w:color="auto" w:fill="DEEAF6" w:themeFill="accent5" w:themeFillTint="33"/>
          </w:tcPr>
          <w:p w14:paraId="5D79EC3C" w14:textId="578F903B" w:rsidR="004B513E" w:rsidRPr="54CE20B3" w:rsidRDefault="49F1502B" w:rsidP="49F1502B">
            <w:pPr>
              <w:rPr>
                <w:color w:val="1F4E79"/>
                <w:lang w:val="sk-SK"/>
              </w:rPr>
            </w:pPr>
            <w:r w:rsidRPr="49F1502B">
              <w:rPr>
                <w:color w:val="1F4E79"/>
                <w:lang w:val="sk-SK"/>
              </w:rPr>
              <w:t>Áno</w:t>
            </w:r>
            <w:r w:rsidRPr="49F1502B">
              <w:rPr>
                <w:color w:val="1F4E79"/>
              </w:rPr>
              <w:t>/Nie</w:t>
            </w:r>
          </w:p>
        </w:tc>
      </w:tr>
      <w:tr w:rsidR="004B513E" w14:paraId="10335519" w14:textId="21DEAE2F" w:rsidTr="0C4B27AE">
        <w:tc>
          <w:tcPr>
            <w:tcW w:w="1112" w:type="dxa"/>
          </w:tcPr>
          <w:p w14:paraId="02A703BE" w14:textId="67B4C28F" w:rsidR="004B513E" w:rsidRDefault="49F1502B" w:rsidP="49F1502B">
            <w:pPr>
              <w:rPr>
                <w:lang w:val="sk-SK"/>
              </w:rPr>
            </w:pPr>
            <w:r w:rsidRPr="49F1502B">
              <w:rPr>
                <w:lang w:val="sk-SK"/>
              </w:rPr>
              <w:t>Ciele</w:t>
            </w:r>
          </w:p>
        </w:tc>
        <w:tc>
          <w:tcPr>
            <w:tcW w:w="1520" w:type="dxa"/>
          </w:tcPr>
          <w:p w14:paraId="321F071B" w14:textId="154D9DA6" w:rsidR="004B513E" w:rsidRDefault="49F1502B" w:rsidP="49F1502B">
            <w:pPr>
              <w:rPr>
                <w:lang w:val="sk-SK"/>
              </w:rPr>
            </w:pPr>
            <w:r w:rsidRPr="49F1502B">
              <w:rPr>
                <w:lang w:val="sk-SK"/>
              </w:rPr>
              <w:t>Povinné</w:t>
            </w:r>
          </w:p>
        </w:tc>
        <w:tc>
          <w:tcPr>
            <w:tcW w:w="5598" w:type="dxa"/>
          </w:tcPr>
          <w:p w14:paraId="79782E64" w14:textId="77777777" w:rsidR="004B513E" w:rsidRDefault="0C4B27AE" w:rsidP="0C4B27AE">
            <w:pPr>
              <w:rPr>
                <w:lang w:val="sk-SK"/>
              </w:rPr>
            </w:pPr>
            <w:r w:rsidRPr="0C4B27AE">
              <w:rPr>
                <w:lang w:val="sk-SK"/>
              </w:rPr>
              <w:t>Zrozumiteľne  definovať a špecifikovať, akým spôsobom prispejú navrhované projekty k merateľným cieľom SP Manažment údajov a SP Otvorené údaje. Stakeholder, ktorého sa týkajú tieto ciele je minimálne ÚPPVII a verejnosť.</w:t>
            </w:r>
          </w:p>
          <w:p w14:paraId="03DD3EDE" w14:textId="77777777" w:rsidR="00964C0A" w:rsidRDefault="00964C0A" w:rsidP="0C4B27AE">
            <w:pPr>
              <w:rPr>
                <w:lang w:val="sk-SK"/>
              </w:rPr>
            </w:pPr>
            <w:r>
              <w:rPr>
                <w:lang w:val="sk-SK"/>
              </w:rPr>
              <w:t>Ide o ciele:</w:t>
            </w:r>
          </w:p>
          <w:p w14:paraId="07D26996" w14:textId="45F84344" w:rsidR="00964C0A" w:rsidRDefault="00964C0A" w:rsidP="00964C0A">
            <w:pPr>
              <w:pStyle w:val="Bullet"/>
            </w:pPr>
            <w:r w:rsidRPr="00964C0A">
              <w:t>Zabezpečenie dostatočnej kvality</w:t>
            </w:r>
            <w:r w:rsidR="001D1755">
              <w:t xml:space="preserve"> údajov</w:t>
            </w:r>
            <w:r w:rsidRPr="00964C0A">
              <w:t xml:space="preserve"> v ISVS organizácie</w:t>
            </w:r>
          </w:p>
          <w:p w14:paraId="7A725215" w14:textId="77777777" w:rsidR="00964C0A" w:rsidRDefault="00964C0A" w:rsidP="00964C0A">
            <w:pPr>
              <w:pStyle w:val="Bullet"/>
            </w:pPr>
            <w:r>
              <w:t xml:space="preserve">Rozšírenie zoznamu referenčných údajov </w:t>
            </w:r>
          </w:p>
          <w:p w14:paraId="0EC3E618" w14:textId="77777777" w:rsidR="00964C0A" w:rsidRDefault="00964C0A" w:rsidP="00964C0A">
            <w:pPr>
              <w:pStyle w:val="Bullet"/>
            </w:pPr>
            <w:r>
              <w:t>Zabezpečenie princípu "jedenkrát a dosť"</w:t>
            </w:r>
          </w:p>
          <w:p w14:paraId="78D6A2E2" w14:textId="43DC5213" w:rsidR="00964C0A" w:rsidRDefault="00964C0A" w:rsidP="00964C0A">
            <w:pPr>
              <w:pStyle w:val="Bullet"/>
            </w:pPr>
            <w:r>
              <w:t>Zabezpečenie využívania referenčných údajov v praxi</w:t>
            </w:r>
          </w:p>
          <w:p w14:paraId="12E559DD" w14:textId="77777777" w:rsidR="00964C0A" w:rsidRDefault="00964C0A" w:rsidP="00964C0A">
            <w:pPr>
              <w:pStyle w:val="Bullet"/>
            </w:pPr>
            <w:r w:rsidRPr="00964C0A">
              <w:t>Sprístupnenie údajov klientom, ktoré sa vo verejnej správe o nich evidujú</w:t>
            </w:r>
          </w:p>
          <w:p w14:paraId="0284B8AB" w14:textId="3ABBE30F" w:rsidR="001D1755" w:rsidRDefault="001D1755" w:rsidP="001D1755">
            <w:pPr>
              <w:pStyle w:val="Bullet"/>
            </w:pPr>
            <w:r>
              <w:t>Zlepšenie rozhodovania vo verejnej správe</w:t>
            </w:r>
          </w:p>
          <w:p w14:paraId="38AD1C89" w14:textId="75042608" w:rsidR="001D1755" w:rsidRDefault="00A32CF9" w:rsidP="001D1755">
            <w:pPr>
              <w:pStyle w:val="Bullet"/>
            </w:pPr>
            <w:r>
              <w:t>Zvýšenie</w:t>
            </w:r>
            <w:r w:rsidR="001D1755" w:rsidRPr="001D1755">
              <w:t xml:space="preserve"> dostupnos</w:t>
            </w:r>
            <w:r>
              <w:t>ti</w:t>
            </w:r>
            <w:r w:rsidR="001D1755" w:rsidRPr="001D1755">
              <w:t xml:space="preserve"> </w:t>
            </w:r>
            <w:r w:rsidR="001D1755">
              <w:t>údajov</w:t>
            </w:r>
            <w:r w:rsidR="001D1755" w:rsidRPr="001D1755">
              <w:t xml:space="preserve"> pre analytické spracovanie</w:t>
            </w:r>
          </w:p>
          <w:p w14:paraId="75DCBCF4" w14:textId="52F75483" w:rsidR="001D1755" w:rsidRDefault="001D1755" w:rsidP="001D1755">
            <w:pPr>
              <w:pStyle w:val="Bullet"/>
            </w:pPr>
            <w:r>
              <w:t>Zlepšenie interoperability údajov zavedením sémantických dátových štandardov</w:t>
            </w:r>
          </w:p>
          <w:p w14:paraId="0C119FC2" w14:textId="77777777" w:rsidR="001D1755" w:rsidRDefault="001D1755" w:rsidP="001D1755">
            <w:pPr>
              <w:pStyle w:val="Bullet"/>
            </w:pPr>
            <w:r>
              <w:lastRenderedPageBreak/>
              <w:t>Zvýšenie dostupnosti údajov vo forme otvorených a prepojených dát</w:t>
            </w:r>
          </w:p>
          <w:p w14:paraId="0D79A3F4" w14:textId="4DAD14D5" w:rsidR="001D1755" w:rsidRDefault="001D1755" w:rsidP="001D1755">
            <w:pPr>
              <w:pStyle w:val="Bullet"/>
            </w:pPr>
            <w:r>
              <w:t xml:space="preserve">Zvýšenie </w:t>
            </w:r>
            <w:r w:rsidR="008976B2">
              <w:t>poč</w:t>
            </w:r>
            <w:r>
              <w:t>t</w:t>
            </w:r>
            <w:r w:rsidR="008976B2">
              <w:t>u</w:t>
            </w:r>
            <w:r>
              <w:t xml:space="preserve"> inštitúcií verejnej správy, ktoré publikujú otvorené údaje</w:t>
            </w:r>
          </w:p>
          <w:p w14:paraId="38A2AF45" w14:textId="4BB28B03" w:rsidR="001D1755" w:rsidRDefault="001D1755">
            <w:pPr>
              <w:pStyle w:val="Bullet"/>
            </w:pPr>
            <w:r>
              <w:t>Zvýšenie rozsah</w:t>
            </w:r>
            <w:r w:rsidR="008976B2">
              <w:t>u</w:t>
            </w:r>
            <w:r>
              <w:t xml:space="preserve"> publikovaných údajov verejnej správy</w:t>
            </w:r>
          </w:p>
          <w:p w14:paraId="4665A9B6" w14:textId="30EA426E" w:rsidR="001D1755" w:rsidRDefault="001D1755" w:rsidP="001D1755">
            <w:pPr>
              <w:pStyle w:val="Bullet"/>
            </w:pPr>
            <w:r>
              <w:t>Zvýšenie kvalit</w:t>
            </w:r>
            <w:r w:rsidR="008976B2">
              <w:t>y</w:t>
            </w:r>
            <w:r>
              <w:t xml:space="preserve"> publikovaných údajov verejnej správy</w:t>
            </w:r>
          </w:p>
          <w:p w14:paraId="66FDFF3B" w14:textId="30051E6D" w:rsidR="008976B2" w:rsidRDefault="008976B2" w:rsidP="008976B2">
            <w:pPr>
              <w:pStyle w:val="Bullet"/>
            </w:pPr>
            <w:r>
              <w:t xml:space="preserve">Zvýšenie dynamiky a prínosnosti dátového hospodárstva </w:t>
            </w:r>
          </w:p>
          <w:p w14:paraId="61660B98" w14:textId="1BC84F27" w:rsidR="001D1755" w:rsidRDefault="008976B2">
            <w:pPr>
              <w:pStyle w:val="Bullet"/>
            </w:pPr>
            <w:r>
              <w:t>Zlepšenie zapojenia Slovenska do jednotného digitálneho trhu (DSM)</w:t>
            </w:r>
          </w:p>
        </w:tc>
        <w:tc>
          <w:tcPr>
            <w:tcW w:w="1120" w:type="dxa"/>
          </w:tcPr>
          <w:p w14:paraId="76CD0136" w14:textId="77777777" w:rsidR="004B513E" w:rsidRPr="54CE20B3" w:rsidRDefault="004B513E" w:rsidP="54CE20B3">
            <w:pPr>
              <w:rPr>
                <w:lang w:val="sk-SK"/>
              </w:rPr>
            </w:pPr>
          </w:p>
        </w:tc>
      </w:tr>
    </w:tbl>
    <w:p w14:paraId="33CD699E" w14:textId="4600A696" w:rsidR="54CE20B3" w:rsidRDefault="02C14962" w:rsidP="02C14962">
      <w:pPr>
        <w:pStyle w:val="Nadpis3"/>
        <w:rPr>
          <w:lang w:val="sk-SK"/>
        </w:rPr>
      </w:pPr>
      <w:r w:rsidRPr="02C14962">
        <w:rPr>
          <w:lang w:val="sk-SK"/>
        </w:rPr>
        <w:t>Porovnanie alternatív</w:t>
      </w:r>
    </w:p>
    <w:tbl>
      <w:tblPr>
        <w:tblStyle w:val="Mriekatabuky"/>
        <w:tblW w:w="9457" w:type="dxa"/>
        <w:tblLook w:val="04A0" w:firstRow="1" w:lastRow="0" w:firstColumn="1" w:lastColumn="0" w:noHBand="0" w:noVBand="1"/>
        <w:tblCaption w:val=""/>
        <w:tblDescription w:val=""/>
      </w:tblPr>
      <w:tblGrid>
        <w:gridCol w:w="1267"/>
        <w:gridCol w:w="1385"/>
        <w:gridCol w:w="5580"/>
        <w:gridCol w:w="1225"/>
      </w:tblGrid>
      <w:tr w:rsidR="004B513E" w14:paraId="2AE4DCEF" w14:textId="12C38CBD" w:rsidTr="02C14962">
        <w:tc>
          <w:tcPr>
            <w:tcW w:w="1267" w:type="dxa"/>
            <w:shd w:val="clear" w:color="auto" w:fill="DEEAF6" w:themeFill="accent5" w:themeFillTint="33"/>
          </w:tcPr>
          <w:p w14:paraId="26200306" w14:textId="77777777" w:rsidR="004B513E" w:rsidRDefault="49F1502B" w:rsidP="49F1502B">
            <w:pPr>
              <w:rPr>
                <w:color w:val="1F4E79"/>
                <w:lang w:val="sk-SK"/>
              </w:rPr>
            </w:pPr>
            <w:r w:rsidRPr="49F1502B">
              <w:rPr>
                <w:color w:val="1F4E79"/>
                <w:lang w:val="sk-SK"/>
              </w:rPr>
              <w:t>Oblasť</w:t>
            </w:r>
          </w:p>
        </w:tc>
        <w:tc>
          <w:tcPr>
            <w:tcW w:w="1385" w:type="dxa"/>
            <w:shd w:val="clear" w:color="auto" w:fill="DEEAF6" w:themeFill="accent5" w:themeFillTint="33"/>
          </w:tcPr>
          <w:p w14:paraId="50410722" w14:textId="77777777" w:rsidR="004B513E" w:rsidRDefault="49F1502B" w:rsidP="49F1502B">
            <w:pPr>
              <w:rPr>
                <w:color w:val="1F4E79"/>
                <w:lang w:val="sk-SK"/>
              </w:rPr>
            </w:pPr>
            <w:r w:rsidRPr="49F1502B">
              <w:rPr>
                <w:color w:val="1F4E79"/>
                <w:lang w:val="sk-SK"/>
              </w:rPr>
              <w:t>Miera záväznosti</w:t>
            </w:r>
          </w:p>
        </w:tc>
        <w:tc>
          <w:tcPr>
            <w:tcW w:w="5580" w:type="dxa"/>
            <w:shd w:val="clear" w:color="auto" w:fill="DEEAF6" w:themeFill="accent5" w:themeFillTint="33"/>
          </w:tcPr>
          <w:p w14:paraId="70FA1447" w14:textId="7F2BD8B0" w:rsidR="004B513E" w:rsidRDefault="49F1502B" w:rsidP="49F1502B">
            <w:pPr>
              <w:rPr>
                <w:color w:val="1F4E79"/>
                <w:lang w:val="sk-SK"/>
              </w:rPr>
            </w:pPr>
            <w:r w:rsidRPr="49F1502B">
              <w:rPr>
                <w:color w:val="1F4E79"/>
                <w:lang w:val="sk-SK"/>
              </w:rPr>
              <w:t>Kontrolované kritérium</w:t>
            </w:r>
          </w:p>
        </w:tc>
        <w:tc>
          <w:tcPr>
            <w:tcW w:w="1225" w:type="dxa"/>
            <w:shd w:val="clear" w:color="auto" w:fill="DEEAF6" w:themeFill="accent5" w:themeFillTint="33"/>
          </w:tcPr>
          <w:p w14:paraId="72FAF6D0" w14:textId="2D4BB3DE" w:rsidR="004B513E" w:rsidRPr="54CE20B3" w:rsidRDefault="49F1502B" w:rsidP="49F1502B">
            <w:pPr>
              <w:rPr>
                <w:color w:val="1F4E79"/>
                <w:lang w:val="sk-SK"/>
              </w:rPr>
            </w:pPr>
            <w:r w:rsidRPr="49F1502B">
              <w:rPr>
                <w:color w:val="1F4E79"/>
                <w:lang w:val="sk-SK"/>
              </w:rPr>
              <w:t>Áno</w:t>
            </w:r>
            <w:r w:rsidRPr="49F1502B">
              <w:rPr>
                <w:color w:val="1F4E79"/>
              </w:rPr>
              <w:t>/Nie</w:t>
            </w:r>
          </w:p>
        </w:tc>
      </w:tr>
      <w:tr w:rsidR="004B513E" w14:paraId="43966759" w14:textId="2AE435FD" w:rsidTr="02C14962">
        <w:tc>
          <w:tcPr>
            <w:tcW w:w="1267" w:type="dxa"/>
          </w:tcPr>
          <w:p w14:paraId="0457C998" w14:textId="2B06CBAF" w:rsidR="004B513E" w:rsidRDefault="49F1502B" w:rsidP="49F1502B">
            <w:pPr>
              <w:rPr>
                <w:lang w:val="sk-SK"/>
              </w:rPr>
            </w:pPr>
            <w:r w:rsidRPr="49F1502B">
              <w:rPr>
                <w:lang w:val="sk-SK"/>
              </w:rPr>
              <w:t>Prístup k definovaniu alternatív</w:t>
            </w:r>
          </w:p>
        </w:tc>
        <w:tc>
          <w:tcPr>
            <w:tcW w:w="1385" w:type="dxa"/>
          </w:tcPr>
          <w:p w14:paraId="741E96D4" w14:textId="154D9DA6" w:rsidR="004B513E" w:rsidRDefault="49F1502B" w:rsidP="49F1502B">
            <w:pPr>
              <w:rPr>
                <w:lang w:val="sk-SK"/>
              </w:rPr>
            </w:pPr>
            <w:r w:rsidRPr="49F1502B">
              <w:rPr>
                <w:lang w:val="sk-SK"/>
              </w:rPr>
              <w:t>Povinné</w:t>
            </w:r>
          </w:p>
        </w:tc>
        <w:tc>
          <w:tcPr>
            <w:tcW w:w="5580" w:type="dxa"/>
          </w:tcPr>
          <w:p w14:paraId="4C18374F" w14:textId="6E40263F" w:rsidR="004B513E" w:rsidRDefault="02C14962" w:rsidP="02C14962">
            <w:pPr>
              <w:rPr>
                <w:lang w:val="sk-SK"/>
              </w:rPr>
            </w:pPr>
            <w:r w:rsidRPr="02C14962">
              <w:rPr>
                <w:lang w:val="sk-SK"/>
              </w:rPr>
              <w:t>V rámci porovnania alternatív by mali byť porovnané "varianty konkrétnych riešení", s uvedením výhod a nevýhod z pohľadu manažmentu údajov.</w:t>
            </w:r>
          </w:p>
        </w:tc>
        <w:tc>
          <w:tcPr>
            <w:tcW w:w="1225" w:type="dxa"/>
          </w:tcPr>
          <w:p w14:paraId="0FF807E6" w14:textId="77777777" w:rsidR="004B513E" w:rsidRPr="54CE20B3" w:rsidRDefault="004B513E" w:rsidP="54CE20B3">
            <w:pPr>
              <w:rPr>
                <w:lang w:val="sk-SK"/>
              </w:rPr>
            </w:pPr>
          </w:p>
        </w:tc>
      </w:tr>
      <w:tr w:rsidR="004B513E" w14:paraId="0ACB9892" w14:textId="5E807BDD" w:rsidTr="02C14962">
        <w:tc>
          <w:tcPr>
            <w:tcW w:w="1267" w:type="dxa"/>
          </w:tcPr>
          <w:p w14:paraId="670FE267" w14:textId="4E145921" w:rsidR="004B513E" w:rsidRDefault="02C14962" w:rsidP="02C14962">
            <w:pPr>
              <w:rPr>
                <w:lang w:val="sk-SK"/>
              </w:rPr>
            </w:pPr>
            <w:r w:rsidRPr="02C14962">
              <w:rPr>
                <w:lang w:val="sk-SK"/>
              </w:rPr>
              <w:t>Základná alternatívna</w:t>
            </w:r>
          </w:p>
        </w:tc>
        <w:tc>
          <w:tcPr>
            <w:tcW w:w="1385" w:type="dxa"/>
          </w:tcPr>
          <w:p w14:paraId="6F0039EA" w14:textId="23FCAC75" w:rsidR="004B513E" w:rsidRDefault="02C14962" w:rsidP="02C14962">
            <w:pPr>
              <w:rPr>
                <w:lang w:val="sk-SK"/>
              </w:rPr>
            </w:pPr>
            <w:r w:rsidRPr="02C14962">
              <w:rPr>
                <w:lang w:val="sk-SK"/>
              </w:rPr>
              <w:t>Povinné</w:t>
            </w:r>
          </w:p>
        </w:tc>
        <w:tc>
          <w:tcPr>
            <w:tcW w:w="5580" w:type="dxa"/>
          </w:tcPr>
          <w:p w14:paraId="12BE1563" w14:textId="1B563AF5" w:rsidR="004B513E" w:rsidRDefault="02C14962" w:rsidP="02C14962">
            <w:pPr>
              <w:rPr>
                <w:lang w:val="sk-SK"/>
              </w:rPr>
            </w:pPr>
            <w:r w:rsidRPr="02C14962">
              <w:rPr>
                <w:lang w:val="sk-SK"/>
              </w:rPr>
              <w:t>Základná alternatívna je postavená na "default" princípoch, ktoré sú stanovené v NKIVS a v SP Manažment údajov a SP Otvorené údaje. V prípade, že sa žiadateľ rozhodne o neštandardné riešenie, musí ho porovnať voči tejto základnej alternatívne.</w:t>
            </w:r>
          </w:p>
        </w:tc>
        <w:tc>
          <w:tcPr>
            <w:tcW w:w="1225" w:type="dxa"/>
          </w:tcPr>
          <w:p w14:paraId="021CC4F3" w14:textId="77777777" w:rsidR="004B513E" w:rsidRDefault="004B513E" w:rsidP="54CE20B3">
            <w:pPr>
              <w:rPr>
                <w:lang w:val="sk-SK"/>
              </w:rPr>
            </w:pPr>
          </w:p>
        </w:tc>
      </w:tr>
      <w:tr w:rsidR="02C14962" w14:paraId="11D7D34D" w14:textId="77777777" w:rsidTr="02C14962">
        <w:tc>
          <w:tcPr>
            <w:tcW w:w="1267" w:type="dxa"/>
          </w:tcPr>
          <w:p w14:paraId="10D7BF26" w14:textId="3B4CB840" w:rsidR="02C14962" w:rsidRDefault="02C14962" w:rsidP="02C14962">
            <w:pPr>
              <w:rPr>
                <w:lang w:val="sk-SK"/>
              </w:rPr>
            </w:pPr>
            <w:r w:rsidRPr="02C14962">
              <w:rPr>
                <w:lang w:val="sk-SK"/>
              </w:rPr>
              <w:t>Počet alternatív</w:t>
            </w:r>
          </w:p>
        </w:tc>
        <w:tc>
          <w:tcPr>
            <w:tcW w:w="1385" w:type="dxa"/>
          </w:tcPr>
          <w:p w14:paraId="2FE59047" w14:textId="7918ACA2" w:rsidR="02C14962" w:rsidRDefault="02C14962" w:rsidP="02C14962">
            <w:pPr>
              <w:rPr>
                <w:lang w:val="sk-SK"/>
              </w:rPr>
            </w:pPr>
            <w:r w:rsidRPr="02C14962">
              <w:rPr>
                <w:lang w:val="sk-SK"/>
              </w:rPr>
              <w:t>Odporúčané</w:t>
            </w:r>
          </w:p>
        </w:tc>
        <w:tc>
          <w:tcPr>
            <w:tcW w:w="5580" w:type="dxa"/>
          </w:tcPr>
          <w:p w14:paraId="2F418EAE" w14:textId="5C93D85E" w:rsidR="02C14962" w:rsidRDefault="02C14962" w:rsidP="02C14962">
            <w:pPr>
              <w:rPr>
                <w:lang w:val="sk-SK"/>
              </w:rPr>
            </w:pPr>
            <w:r w:rsidRPr="02C14962">
              <w:rPr>
                <w:lang w:val="sk-SK"/>
              </w:rPr>
              <w:t>Počet alternatív by mal byť minimálne 3.</w:t>
            </w:r>
          </w:p>
        </w:tc>
        <w:tc>
          <w:tcPr>
            <w:tcW w:w="1225" w:type="dxa"/>
          </w:tcPr>
          <w:p w14:paraId="15415E92" w14:textId="7B1A7E87" w:rsidR="02C14962" w:rsidRDefault="02C14962" w:rsidP="02C14962">
            <w:pPr>
              <w:rPr>
                <w:lang w:val="sk-SK"/>
              </w:rPr>
            </w:pPr>
          </w:p>
        </w:tc>
      </w:tr>
    </w:tbl>
    <w:p w14:paraId="6043E918" w14:textId="4FA7FF2D" w:rsidR="00005ED1" w:rsidRDefault="49F1502B" w:rsidP="49F1502B">
      <w:pPr>
        <w:pStyle w:val="Nadpis3"/>
        <w:rPr>
          <w:lang w:val="sk-SK"/>
        </w:rPr>
      </w:pPr>
      <w:r w:rsidRPr="49F1502B">
        <w:rPr>
          <w:lang w:val="sk-SK"/>
        </w:rPr>
        <w:t>Biznis architektúra</w:t>
      </w:r>
    </w:p>
    <w:p w14:paraId="7AF53809" w14:textId="63F80AB5" w:rsidR="00B05BA4" w:rsidRPr="00B05BA4" w:rsidRDefault="02C14962" w:rsidP="02C14962">
      <w:pPr>
        <w:rPr>
          <w:lang w:val="sk-SK"/>
        </w:rPr>
      </w:pPr>
      <w:r w:rsidRPr="02C14962">
        <w:rPr>
          <w:lang w:val="sk-SK"/>
        </w:rPr>
        <w:t>V rámci kapitoly je potrebné jasne a presne určiť biznis požiadavky na služby a procesy, ktoré budú vďaka novému projektu zabezpečené. Znamená to vysvetliť, ako vďaka realizácií konceptu manažmentu údajov budú mať jednotlivý používatelia lepšie a komfortnejšie možnosti fungovania.</w:t>
      </w:r>
    </w:p>
    <w:tbl>
      <w:tblPr>
        <w:tblStyle w:val="Mriekatabuky"/>
        <w:tblW w:w="5000" w:type="pct"/>
        <w:tblLook w:val="04A0" w:firstRow="1" w:lastRow="0" w:firstColumn="1" w:lastColumn="0" w:noHBand="0" w:noVBand="1"/>
      </w:tblPr>
      <w:tblGrid>
        <w:gridCol w:w="1414"/>
        <w:gridCol w:w="1340"/>
        <w:gridCol w:w="5569"/>
        <w:gridCol w:w="1027"/>
      </w:tblGrid>
      <w:tr w:rsidR="004B513E" w:rsidRPr="005F1574" w14:paraId="6BEF9AB6" w14:textId="7EDA8F9E" w:rsidTr="0C4B27AE">
        <w:trPr>
          <w:tblHeader/>
        </w:trPr>
        <w:tc>
          <w:tcPr>
            <w:tcW w:w="678" w:type="pct"/>
            <w:shd w:val="clear" w:color="auto" w:fill="DEEAF6" w:themeFill="accent5" w:themeFillTint="33"/>
          </w:tcPr>
          <w:p w14:paraId="5FBC44CF" w14:textId="77777777" w:rsidR="004B513E" w:rsidRPr="005F1574" w:rsidRDefault="49F1502B" w:rsidP="49F1502B">
            <w:pPr>
              <w:rPr>
                <w:color w:val="1F4E79"/>
                <w:lang w:val="sk-SK"/>
              </w:rPr>
            </w:pPr>
            <w:r w:rsidRPr="49F1502B">
              <w:rPr>
                <w:color w:val="1F4E79"/>
                <w:lang w:val="sk-SK"/>
              </w:rPr>
              <w:t>Oblasť</w:t>
            </w:r>
          </w:p>
        </w:tc>
        <w:tc>
          <w:tcPr>
            <w:tcW w:w="715" w:type="pct"/>
            <w:shd w:val="clear" w:color="auto" w:fill="DEEAF6" w:themeFill="accent5" w:themeFillTint="33"/>
          </w:tcPr>
          <w:p w14:paraId="54A89BF4" w14:textId="77777777" w:rsidR="004B513E" w:rsidRPr="005F1574" w:rsidRDefault="49F1502B" w:rsidP="49F1502B">
            <w:pPr>
              <w:rPr>
                <w:color w:val="1F4E79"/>
                <w:lang w:val="sk-SK"/>
              </w:rPr>
            </w:pPr>
            <w:r w:rsidRPr="49F1502B">
              <w:rPr>
                <w:color w:val="1F4E79"/>
                <w:lang w:val="sk-SK"/>
              </w:rPr>
              <w:t>Miera záväznosti</w:t>
            </w:r>
          </w:p>
        </w:tc>
        <w:tc>
          <w:tcPr>
            <w:tcW w:w="3018" w:type="pct"/>
            <w:shd w:val="clear" w:color="auto" w:fill="DEEAF6" w:themeFill="accent5" w:themeFillTint="33"/>
          </w:tcPr>
          <w:p w14:paraId="6373C8EA" w14:textId="44DF3ED6" w:rsidR="004B513E" w:rsidRPr="005F1574" w:rsidRDefault="49F1502B" w:rsidP="49F1502B">
            <w:pPr>
              <w:rPr>
                <w:color w:val="1F4E79"/>
                <w:lang w:val="sk-SK"/>
              </w:rPr>
            </w:pPr>
            <w:r w:rsidRPr="49F1502B">
              <w:rPr>
                <w:color w:val="1F4E79"/>
                <w:lang w:val="sk-SK"/>
              </w:rPr>
              <w:t>Kontrolované kritérium</w:t>
            </w:r>
          </w:p>
        </w:tc>
        <w:tc>
          <w:tcPr>
            <w:tcW w:w="589" w:type="pct"/>
            <w:shd w:val="clear" w:color="auto" w:fill="DEEAF6" w:themeFill="accent5" w:themeFillTint="33"/>
          </w:tcPr>
          <w:p w14:paraId="21C48F72" w14:textId="49534A99" w:rsidR="004B513E" w:rsidRPr="06A90D0C" w:rsidRDefault="49F1502B" w:rsidP="49F1502B">
            <w:pPr>
              <w:rPr>
                <w:color w:val="1F4E79"/>
                <w:lang w:val="sk-SK"/>
              </w:rPr>
            </w:pPr>
            <w:r w:rsidRPr="49F1502B">
              <w:rPr>
                <w:color w:val="1F4E79"/>
                <w:lang w:val="sk-SK"/>
              </w:rPr>
              <w:t>Áno</w:t>
            </w:r>
            <w:r w:rsidRPr="49F1502B">
              <w:rPr>
                <w:color w:val="1F4E79"/>
              </w:rPr>
              <w:t>/Nie</w:t>
            </w:r>
          </w:p>
        </w:tc>
      </w:tr>
      <w:tr w:rsidR="004B513E" w:rsidRPr="001B0C66" w14:paraId="57BFC505" w14:textId="1CB3C3F5" w:rsidTr="0C4B27AE">
        <w:tc>
          <w:tcPr>
            <w:tcW w:w="678" w:type="pct"/>
          </w:tcPr>
          <w:p w14:paraId="620F32EC" w14:textId="4A1AEA17" w:rsidR="004B513E" w:rsidRDefault="49F1502B" w:rsidP="49F1502B">
            <w:pPr>
              <w:rPr>
                <w:lang w:val="sk-SK"/>
              </w:rPr>
            </w:pPr>
            <w:r w:rsidRPr="49F1502B">
              <w:rPr>
                <w:lang w:val="sk-SK"/>
              </w:rPr>
              <w:t>„Jeden-krát a dosť“</w:t>
            </w:r>
          </w:p>
          <w:p w14:paraId="7C217CD8" w14:textId="77777777" w:rsidR="004B513E" w:rsidRPr="001B0C66" w:rsidRDefault="004B513E" w:rsidP="00AC22C3">
            <w:pPr>
              <w:rPr>
                <w:lang w:val="sk-SK"/>
              </w:rPr>
            </w:pPr>
          </w:p>
        </w:tc>
        <w:tc>
          <w:tcPr>
            <w:tcW w:w="715" w:type="pct"/>
          </w:tcPr>
          <w:p w14:paraId="2BBF6700" w14:textId="154D9DA6" w:rsidR="004B513E" w:rsidRPr="001B0C66" w:rsidRDefault="49F1502B" w:rsidP="49F1502B">
            <w:pPr>
              <w:rPr>
                <w:lang w:val="sk-SK"/>
              </w:rPr>
            </w:pPr>
            <w:r w:rsidRPr="49F1502B">
              <w:rPr>
                <w:lang w:val="sk-SK"/>
              </w:rPr>
              <w:t>Povinné</w:t>
            </w:r>
          </w:p>
        </w:tc>
        <w:tc>
          <w:tcPr>
            <w:tcW w:w="3018" w:type="pct"/>
          </w:tcPr>
          <w:p w14:paraId="68DF40A4" w14:textId="70AD9ADC" w:rsidR="004B513E" w:rsidRPr="001B0C66" w:rsidRDefault="02C14962" w:rsidP="02C14962">
            <w:pPr>
              <w:rPr>
                <w:lang w:val="sk-SK"/>
              </w:rPr>
            </w:pPr>
            <w:r w:rsidRPr="02C14962">
              <w:rPr>
                <w:lang w:val="sk-SK"/>
              </w:rPr>
              <w:t>Jasne vysvetli</w:t>
            </w:r>
            <w:r>
              <w:t>ť,</w:t>
            </w:r>
            <w:r w:rsidRPr="02C14962">
              <w:rPr>
                <w:lang w:val="sk-SK"/>
              </w:rPr>
              <w:t xml:space="preserve"> že sa v biznis službách nebudú vyžadovať od subjektu údaje z iných informačných systémov verejnej správy, ktoré sú verejnej správe k dispozícii.</w:t>
            </w:r>
          </w:p>
        </w:tc>
        <w:tc>
          <w:tcPr>
            <w:tcW w:w="589" w:type="pct"/>
          </w:tcPr>
          <w:p w14:paraId="37715B55" w14:textId="77777777" w:rsidR="004B513E" w:rsidRPr="06A90D0C" w:rsidRDefault="004B513E" w:rsidP="06A90D0C">
            <w:pPr>
              <w:rPr>
                <w:lang w:val="sk-SK"/>
              </w:rPr>
            </w:pPr>
          </w:p>
        </w:tc>
      </w:tr>
      <w:tr w:rsidR="004B513E" w:rsidRPr="001B0C66" w14:paraId="752CB41A" w14:textId="14C4B0F6" w:rsidTr="0C4B27AE">
        <w:tc>
          <w:tcPr>
            <w:tcW w:w="678" w:type="pct"/>
          </w:tcPr>
          <w:p w14:paraId="3166046C" w14:textId="4AAC5EC2" w:rsidR="004B513E" w:rsidRPr="001B0C66" w:rsidRDefault="49F1502B" w:rsidP="49F1502B">
            <w:pPr>
              <w:rPr>
                <w:lang w:val="sk-SK"/>
              </w:rPr>
            </w:pPr>
            <w:r w:rsidRPr="49F1502B">
              <w:rPr>
                <w:lang w:val="sk-SK"/>
              </w:rPr>
              <w:t>Moje dáta</w:t>
            </w:r>
          </w:p>
        </w:tc>
        <w:tc>
          <w:tcPr>
            <w:tcW w:w="715" w:type="pct"/>
          </w:tcPr>
          <w:p w14:paraId="31C46014" w14:textId="37074A87" w:rsidR="004B513E" w:rsidRPr="001B0C66" w:rsidRDefault="02C14962" w:rsidP="02C14962">
            <w:pPr>
              <w:rPr>
                <w:lang w:val="sk-SK"/>
              </w:rPr>
            </w:pPr>
            <w:r w:rsidRPr="02C14962">
              <w:rPr>
                <w:lang w:val="sk-SK"/>
              </w:rPr>
              <w:t>Povinné (od konceptu služby moje dáta)</w:t>
            </w:r>
          </w:p>
        </w:tc>
        <w:tc>
          <w:tcPr>
            <w:tcW w:w="3018" w:type="pct"/>
          </w:tcPr>
          <w:p w14:paraId="55A6A59F" w14:textId="6522DA40" w:rsidR="004B513E" w:rsidRPr="00CC78D4" w:rsidRDefault="49F1502B" w:rsidP="49F1502B">
            <w:pPr>
              <w:rPr>
                <w:b/>
                <w:bCs/>
                <w:lang w:val="sk-SK"/>
              </w:rPr>
            </w:pPr>
            <w:r w:rsidRPr="49F1502B">
              <w:rPr>
                <w:lang w:val="sk-SK"/>
              </w:rPr>
              <w:t>Zaviazať sa v rámci štúdie uskutočniteľnosti pre projekt informatizácie, že údaje implementovaného projektu budú k dispozícii pre službu „moje dáta“.</w:t>
            </w:r>
          </w:p>
        </w:tc>
        <w:tc>
          <w:tcPr>
            <w:tcW w:w="589" w:type="pct"/>
          </w:tcPr>
          <w:p w14:paraId="58C57F6B" w14:textId="77777777" w:rsidR="004B513E" w:rsidRPr="54CE20B3" w:rsidRDefault="004B513E" w:rsidP="54CE20B3">
            <w:pPr>
              <w:rPr>
                <w:lang w:val="sk-SK"/>
              </w:rPr>
            </w:pPr>
          </w:p>
        </w:tc>
      </w:tr>
      <w:tr w:rsidR="004B513E" w:rsidRPr="001B0C66" w14:paraId="6B47E405" w14:textId="720F8BF7" w:rsidTr="0C4B27AE">
        <w:tc>
          <w:tcPr>
            <w:tcW w:w="678" w:type="pct"/>
          </w:tcPr>
          <w:p w14:paraId="4295B824" w14:textId="27A4A132" w:rsidR="004B513E" w:rsidRPr="001B0C66" w:rsidRDefault="49F1502B" w:rsidP="49F1502B">
            <w:pPr>
              <w:rPr>
                <w:lang w:val="sk-SK"/>
              </w:rPr>
            </w:pPr>
            <w:r w:rsidRPr="49F1502B">
              <w:rPr>
                <w:lang w:val="sk-SK"/>
              </w:rPr>
              <w:t>Analytické spracovanie údajov</w:t>
            </w:r>
          </w:p>
        </w:tc>
        <w:tc>
          <w:tcPr>
            <w:tcW w:w="715" w:type="pct"/>
          </w:tcPr>
          <w:p w14:paraId="04C60C35" w14:textId="2C2C5D21" w:rsidR="004B513E" w:rsidRPr="001B0C66" w:rsidRDefault="0C4B27AE" w:rsidP="0C4B27AE">
            <w:pPr>
              <w:rPr>
                <w:lang w:val="sk-SK"/>
              </w:rPr>
            </w:pPr>
            <w:r w:rsidRPr="0C4B27AE">
              <w:rPr>
                <w:lang w:val="sk-SK"/>
              </w:rPr>
              <w:t>Povinné (od konceptu využívania analytických</w:t>
            </w:r>
            <w:r w:rsidR="00A32CF9">
              <w:rPr>
                <w:lang w:val="sk-SK"/>
              </w:rPr>
              <w:t xml:space="preserve"> </w:t>
            </w:r>
            <w:r w:rsidRPr="0C4B27AE">
              <w:rPr>
                <w:lang w:val="sk-SK"/>
              </w:rPr>
              <w:t>údajov)</w:t>
            </w:r>
          </w:p>
        </w:tc>
        <w:tc>
          <w:tcPr>
            <w:tcW w:w="3018" w:type="pct"/>
          </w:tcPr>
          <w:p w14:paraId="3CCEF989" w14:textId="62F56E97" w:rsidR="004B513E" w:rsidRPr="00CC78D4" w:rsidRDefault="49F1502B" w:rsidP="49F1502B">
            <w:pPr>
              <w:rPr>
                <w:b/>
                <w:bCs/>
                <w:lang w:val="sk-SK"/>
              </w:rPr>
            </w:pPr>
            <w:r w:rsidRPr="49F1502B">
              <w:rPr>
                <w:lang w:val="sk-SK"/>
              </w:rPr>
              <w:t xml:space="preserve">Údaje v správe úseku verejnej správy musia byť použiteľné na analytické spracovanie. </w:t>
            </w:r>
          </w:p>
        </w:tc>
        <w:tc>
          <w:tcPr>
            <w:tcW w:w="589" w:type="pct"/>
          </w:tcPr>
          <w:p w14:paraId="59796B08" w14:textId="77777777" w:rsidR="004B513E" w:rsidRPr="54CE20B3" w:rsidRDefault="004B513E" w:rsidP="54CE20B3">
            <w:pPr>
              <w:rPr>
                <w:lang w:val="sk-SK"/>
              </w:rPr>
            </w:pPr>
          </w:p>
        </w:tc>
      </w:tr>
      <w:tr w:rsidR="00B05BA4" w:rsidRPr="001B0C66" w14:paraId="5A0F99F7" w14:textId="77777777" w:rsidTr="0C4B27AE">
        <w:tc>
          <w:tcPr>
            <w:tcW w:w="678" w:type="pct"/>
          </w:tcPr>
          <w:p w14:paraId="6497A0B8" w14:textId="491BA5F8" w:rsidR="00B05BA4" w:rsidRPr="06A90D0C" w:rsidRDefault="49F1502B" w:rsidP="49F1502B">
            <w:pPr>
              <w:rPr>
                <w:lang w:val="sk-SK"/>
              </w:rPr>
            </w:pPr>
            <w:r w:rsidRPr="49F1502B">
              <w:rPr>
                <w:lang w:val="sk-SK"/>
              </w:rPr>
              <w:t>Reforma rozhodovania</w:t>
            </w:r>
          </w:p>
        </w:tc>
        <w:tc>
          <w:tcPr>
            <w:tcW w:w="715" w:type="pct"/>
          </w:tcPr>
          <w:p w14:paraId="27FDA0FD" w14:textId="7BEE0279" w:rsidR="00B05BA4" w:rsidRPr="06A90D0C" w:rsidRDefault="49F1502B" w:rsidP="49F1502B">
            <w:pPr>
              <w:rPr>
                <w:lang w:val="sk-SK"/>
              </w:rPr>
            </w:pPr>
            <w:r w:rsidRPr="49F1502B">
              <w:rPr>
                <w:lang w:val="sk-SK"/>
              </w:rPr>
              <w:t>Odporúčané</w:t>
            </w:r>
          </w:p>
        </w:tc>
        <w:tc>
          <w:tcPr>
            <w:tcW w:w="3018" w:type="pct"/>
          </w:tcPr>
          <w:p w14:paraId="4815E433" w14:textId="01EE9B4D" w:rsidR="00B05BA4" w:rsidRDefault="49F1502B" w:rsidP="49F1502B">
            <w:pPr>
              <w:rPr>
                <w:lang w:val="sk-SK"/>
              </w:rPr>
            </w:pPr>
            <w:r w:rsidRPr="49F1502B">
              <w:rPr>
                <w:lang w:val="sk-SK"/>
              </w:rPr>
              <w:t>V prípade, že projekt počíta s reformou výkonu verejnej správy a optimalizáciou procesov uviesť princípy zlepšenia rozhodovania na úseku verejnej správy.</w:t>
            </w:r>
          </w:p>
        </w:tc>
        <w:tc>
          <w:tcPr>
            <w:tcW w:w="589" w:type="pct"/>
          </w:tcPr>
          <w:p w14:paraId="0AE04DA6" w14:textId="77777777" w:rsidR="00B05BA4" w:rsidRPr="54CE20B3" w:rsidRDefault="00B05BA4" w:rsidP="54CE20B3">
            <w:pPr>
              <w:rPr>
                <w:lang w:val="sk-SK"/>
              </w:rPr>
            </w:pPr>
          </w:p>
        </w:tc>
      </w:tr>
    </w:tbl>
    <w:p w14:paraId="10B48D90" w14:textId="67C1D5D3" w:rsidR="00CC78D4" w:rsidRDefault="02C14962" w:rsidP="02C14962">
      <w:pPr>
        <w:pStyle w:val="Nadpis3"/>
        <w:rPr>
          <w:lang w:val="sk-SK"/>
        </w:rPr>
      </w:pPr>
      <w:r w:rsidRPr="02C14962">
        <w:rPr>
          <w:lang w:val="sk-SK"/>
        </w:rPr>
        <w:lastRenderedPageBreak/>
        <w:t>Architektúra údajov</w:t>
      </w:r>
    </w:p>
    <w:p w14:paraId="00305123" w14:textId="1E856223" w:rsidR="00CC78D4" w:rsidRDefault="02C14962" w:rsidP="02C14962">
      <w:pPr>
        <w:rPr>
          <w:lang w:val="sk-SK"/>
        </w:rPr>
      </w:pPr>
      <w:r w:rsidRPr="02C14962">
        <w:rPr>
          <w:lang w:val="sk-SK"/>
        </w:rPr>
        <w:t>Podkapitola pre aplikačnú architektúru, ktorá podrobnejšie definuje dátové entity (bázu dát), s ktorými sa bude pracovať, vrátane požiadaviek na spracovávané údaje.</w:t>
      </w:r>
    </w:p>
    <w:tbl>
      <w:tblPr>
        <w:tblStyle w:val="Mriekatabuky"/>
        <w:tblW w:w="0" w:type="auto"/>
        <w:tblLook w:val="04A0" w:firstRow="1" w:lastRow="0" w:firstColumn="1" w:lastColumn="0" w:noHBand="0" w:noVBand="1"/>
      </w:tblPr>
      <w:tblGrid>
        <w:gridCol w:w="1499"/>
        <w:gridCol w:w="1145"/>
        <w:gridCol w:w="5670"/>
        <w:gridCol w:w="1036"/>
      </w:tblGrid>
      <w:tr w:rsidR="02C14962" w14:paraId="65168688" w14:textId="77777777" w:rsidTr="0C4B27AE">
        <w:tc>
          <w:tcPr>
            <w:tcW w:w="1402" w:type="dxa"/>
            <w:shd w:val="clear" w:color="auto" w:fill="DEEAF6" w:themeFill="accent5" w:themeFillTint="33"/>
          </w:tcPr>
          <w:p w14:paraId="4C3106C8" w14:textId="77777777" w:rsidR="02C14962" w:rsidRDefault="02C14962" w:rsidP="02C14962">
            <w:pPr>
              <w:rPr>
                <w:color w:val="1F4E79"/>
                <w:lang w:val="sk-SK"/>
              </w:rPr>
            </w:pPr>
            <w:r w:rsidRPr="02C14962">
              <w:rPr>
                <w:color w:val="1F4E79"/>
                <w:lang w:val="sk-SK"/>
              </w:rPr>
              <w:t>Oblasť</w:t>
            </w:r>
          </w:p>
        </w:tc>
        <w:tc>
          <w:tcPr>
            <w:tcW w:w="1145" w:type="dxa"/>
            <w:shd w:val="clear" w:color="auto" w:fill="DEEAF6" w:themeFill="accent5" w:themeFillTint="33"/>
          </w:tcPr>
          <w:p w14:paraId="40B3A292" w14:textId="77777777" w:rsidR="02C14962" w:rsidRDefault="02C14962" w:rsidP="02C14962">
            <w:pPr>
              <w:rPr>
                <w:color w:val="1F4E79"/>
                <w:lang w:val="sk-SK"/>
              </w:rPr>
            </w:pPr>
            <w:r w:rsidRPr="02C14962">
              <w:rPr>
                <w:color w:val="1F4E79"/>
                <w:lang w:val="sk-SK"/>
              </w:rPr>
              <w:t>Miera záväznosti</w:t>
            </w:r>
          </w:p>
        </w:tc>
        <w:tc>
          <w:tcPr>
            <w:tcW w:w="5765" w:type="dxa"/>
            <w:shd w:val="clear" w:color="auto" w:fill="DEEAF6" w:themeFill="accent5" w:themeFillTint="33"/>
          </w:tcPr>
          <w:p w14:paraId="2916EACC" w14:textId="062BD364" w:rsidR="02C14962" w:rsidRDefault="02C14962" w:rsidP="02C14962">
            <w:pPr>
              <w:rPr>
                <w:color w:val="1F4E79"/>
                <w:lang w:val="sk-SK"/>
              </w:rPr>
            </w:pPr>
            <w:r w:rsidRPr="02C14962">
              <w:rPr>
                <w:color w:val="1F4E79"/>
                <w:lang w:val="sk-SK"/>
              </w:rPr>
              <w:t>Kontrolované kritérium</w:t>
            </w:r>
          </w:p>
        </w:tc>
        <w:tc>
          <w:tcPr>
            <w:tcW w:w="1038" w:type="dxa"/>
            <w:shd w:val="clear" w:color="auto" w:fill="DEEAF6" w:themeFill="accent5" w:themeFillTint="33"/>
          </w:tcPr>
          <w:p w14:paraId="6097F756" w14:textId="308C2CB3" w:rsidR="02C14962" w:rsidRDefault="02C14962" w:rsidP="02C14962">
            <w:pPr>
              <w:rPr>
                <w:color w:val="1F4E79"/>
                <w:lang w:val="sk-SK"/>
              </w:rPr>
            </w:pPr>
            <w:r w:rsidRPr="02C14962">
              <w:rPr>
                <w:color w:val="1F4E79"/>
                <w:lang w:val="sk-SK"/>
              </w:rPr>
              <w:t>Áno</w:t>
            </w:r>
            <w:r w:rsidRPr="02C14962">
              <w:rPr>
                <w:color w:val="1F4E79"/>
              </w:rPr>
              <w:t>/Nie</w:t>
            </w:r>
          </w:p>
        </w:tc>
      </w:tr>
      <w:tr w:rsidR="02C14962" w14:paraId="6D1624BD" w14:textId="77777777" w:rsidTr="0C4B27AE">
        <w:tc>
          <w:tcPr>
            <w:tcW w:w="1402" w:type="dxa"/>
          </w:tcPr>
          <w:p w14:paraId="1CB0B828" w14:textId="6E53FE58" w:rsidR="02C14962" w:rsidRDefault="02C14962" w:rsidP="02C14962">
            <w:pPr>
              <w:rPr>
                <w:lang w:val="sk-SK"/>
              </w:rPr>
            </w:pPr>
            <w:r w:rsidRPr="02C14962">
              <w:rPr>
                <w:lang w:val="sk-SK"/>
              </w:rPr>
              <w:t>Objekty evidencie</w:t>
            </w:r>
          </w:p>
        </w:tc>
        <w:tc>
          <w:tcPr>
            <w:tcW w:w="1145" w:type="dxa"/>
          </w:tcPr>
          <w:p w14:paraId="0E7857BF" w14:textId="249CF838" w:rsidR="02C14962" w:rsidRDefault="02C14962" w:rsidP="02C14962">
            <w:pPr>
              <w:rPr>
                <w:lang w:val="sk-SK"/>
              </w:rPr>
            </w:pPr>
            <w:r w:rsidRPr="02C14962">
              <w:rPr>
                <w:lang w:val="sk-SK"/>
              </w:rPr>
              <w:t>Povinné</w:t>
            </w:r>
          </w:p>
        </w:tc>
        <w:tc>
          <w:tcPr>
            <w:tcW w:w="5765" w:type="dxa"/>
          </w:tcPr>
          <w:p w14:paraId="51354D40" w14:textId="6E490A32" w:rsidR="02C14962" w:rsidRDefault="02C14962" w:rsidP="02C14962">
            <w:pPr>
              <w:rPr>
                <w:lang w:val="sk-SK"/>
              </w:rPr>
            </w:pPr>
            <w:r w:rsidRPr="02C14962">
              <w:rPr>
                <w:lang w:val="sk-SK"/>
              </w:rPr>
              <w:t>Identifikovať, ktoré objekty evidencie (entity) sú vytvárané v navrhovanom systéme – na koncepčnej úrovni.</w:t>
            </w:r>
          </w:p>
        </w:tc>
        <w:tc>
          <w:tcPr>
            <w:tcW w:w="1038" w:type="dxa"/>
          </w:tcPr>
          <w:p w14:paraId="25F53DBC" w14:textId="7374924C" w:rsidR="02C14962" w:rsidRDefault="02C14962" w:rsidP="02C14962">
            <w:pPr>
              <w:rPr>
                <w:lang w:val="sk-SK"/>
              </w:rPr>
            </w:pPr>
          </w:p>
        </w:tc>
      </w:tr>
      <w:tr w:rsidR="02C14962" w14:paraId="42E8F331" w14:textId="77777777" w:rsidTr="0C4B27AE">
        <w:tc>
          <w:tcPr>
            <w:tcW w:w="1402" w:type="dxa"/>
          </w:tcPr>
          <w:p w14:paraId="0DB20487" w14:textId="402EC3E1" w:rsidR="02C14962" w:rsidRDefault="02C14962" w:rsidP="02C14962">
            <w:pPr>
              <w:rPr>
                <w:lang w:val="sk-SK"/>
              </w:rPr>
            </w:pPr>
            <w:r w:rsidRPr="02C14962">
              <w:rPr>
                <w:lang w:val="sk-SK"/>
              </w:rPr>
              <w:t>Kvalita údajov</w:t>
            </w:r>
          </w:p>
        </w:tc>
        <w:tc>
          <w:tcPr>
            <w:tcW w:w="1145" w:type="dxa"/>
          </w:tcPr>
          <w:p w14:paraId="0712A70C" w14:textId="65A52A21" w:rsidR="02C14962" w:rsidRDefault="02C14962" w:rsidP="02C14962">
            <w:pPr>
              <w:rPr>
                <w:lang w:val="sk-SK"/>
              </w:rPr>
            </w:pPr>
            <w:r w:rsidRPr="02C14962">
              <w:rPr>
                <w:lang w:val="sk-SK"/>
              </w:rPr>
              <w:t>Povinné</w:t>
            </w:r>
          </w:p>
        </w:tc>
        <w:tc>
          <w:tcPr>
            <w:tcW w:w="5765" w:type="dxa"/>
          </w:tcPr>
          <w:p w14:paraId="4D6837A7" w14:textId="645BF67F" w:rsidR="02C14962" w:rsidRDefault="02C14962" w:rsidP="02C14962">
            <w:pPr>
              <w:rPr>
                <w:lang w:val="sk-SK"/>
              </w:rPr>
            </w:pPr>
            <w:r w:rsidRPr="02C14962">
              <w:rPr>
                <w:lang w:val="sk-SK"/>
              </w:rPr>
              <w:t>Deklarovať, že ak v rámci riešenej agendy budú spracovávané  údaje, ktoré sú referenčné alebo sú plánované ako referenčné, tak v čase ukončenia projektu budú využívané všetky dostupné potrebné referenčné údaje.</w:t>
            </w:r>
          </w:p>
        </w:tc>
        <w:tc>
          <w:tcPr>
            <w:tcW w:w="1038" w:type="dxa"/>
          </w:tcPr>
          <w:p w14:paraId="76216D51" w14:textId="77777777" w:rsidR="02C14962" w:rsidRDefault="02C14962" w:rsidP="02C14962">
            <w:pPr>
              <w:rPr>
                <w:lang w:val="sk-SK"/>
              </w:rPr>
            </w:pPr>
          </w:p>
        </w:tc>
      </w:tr>
      <w:tr w:rsidR="02C14962" w14:paraId="3D1A08DC" w14:textId="77777777" w:rsidTr="0C4B27AE">
        <w:tc>
          <w:tcPr>
            <w:tcW w:w="1402" w:type="dxa"/>
          </w:tcPr>
          <w:p w14:paraId="0F33F336" w14:textId="14E6F875" w:rsidR="02C14962" w:rsidRDefault="02C14962" w:rsidP="02C14962">
            <w:pPr>
              <w:rPr>
                <w:lang w:val="sk-SK"/>
              </w:rPr>
            </w:pPr>
            <w:r w:rsidRPr="02C14962">
              <w:rPr>
                <w:lang w:val="sk-SK"/>
              </w:rPr>
              <w:t>Konzumované údaje</w:t>
            </w:r>
          </w:p>
        </w:tc>
        <w:tc>
          <w:tcPr>
            <w:tcW w:w="1145" w:type="dxa"/>
          </w:tcPr>
          <w:p w14:paraId="04233076" w14:textId="1BB4C0C0" w:rsidR="02C14962" w:rsidRDefault="02C14962" w:rsidP="02C14962">
            <w:pPr>
              <w:rPr>
                <w:lang w:val="sk-SK"/>
              </w:rPr>
            </w:pPr>
            <w:r w:rsidRPr="02C14962">
              <w:rPr>
                <w:lang w:val="sk-SK"/>
              </w:rPr>
              <w:t>Povinné</w:t>
            </w:r>
          </w:p>
        </w:tc>
        <w:tc>
          <w:tcPr>
            <w:tcW w:w="5765" w:type="dxa"/>
          </w:tcPr>
          <w:p w14:paraId="4314F9BB" w14:textId="7672DECC" w:rsidR="02C14962" w:rsidRDefault="02C14962" w:rsidP="02C14962">
            <w:pPr>
              <w:rPr>
                <w:lang w:val="sk-SK"/>
              </w:rPr>
            </w:pPr>
            <w:r w:rsidRPr="02C14962">
              <w:rPr>
                <w:lang w:val="sk-SK"/>
              </w:rPr>
              <w:t>Na koncepčnej úrovni uviesť objekty evidencie preberané z iných informačných systémov verejnej správy.</w:t>
            </w:r>
          </w:p>
        </w:tc>
        <w:tc>
          <w:tcPr>
            <w:tcW w:w="1038" w:type="dxa"/>
          </w:tcPr>
          <w:p w14:paraId="6051E950" w14:textId="77B0F6DB" w:rsidR="02C14962" w:rsidRDefault="02C14962" w:rsidP="02C14962">
            <w:pPr>
              <w:rPr>
                <w:lang w:val="sk-SK"/>
              </w:rPr>
            </w:pPr>
          </w:p>
        </w:tc>
      </w:tr>
      <w:tr w:rsidR="02C14962" w14:paraId="4DAED9E4" w14:textId="77777777" w:rsidTr="0C4B27AE">
        <w:tc>
          <w:tcPr>
            <w:tcW w:w="1402" w:type="dxa"/>
          </w:tcPr>
          <w:p w14:paraId="55A06E5C" w14:textId="1BB5A31A" w:rsidR="02C14962" w:rsidRDefault="02C14962" w:rsidP="02C14962">
            <w:pPr>
              <w:rPr>
                <w:lang w:val="sk-SK"/>
              </w:rPr>
            </w:pPr>
            <w:r w:rsidRPr="02C14962">
              <w:rPr>
                <w:lang w:val="sk-SK"/>
              </w:rPr>
              <w:t>Referenčné údaje</w:t>
            </w:r>
          </w:p>
        </w:tc>
        <w:tc>
          <w:tcPr>
            <w:tcW w:w="1145" w:type="dxa"/>
          </w:tcPr>
          <w:p w14:paraId="4AE472EF" w14:textId="7B9D18BD" w:rsidR="02C14962" w:rsidRDefault="02C14962" w:rsidP="02C14962">
            <w:pPr>
              <w:rPr>
                <w:lang w:val="sk-SK"/>
              </w:rPr>
            </w:pPr>
            <w:r w:rsidRPr="02C14962">
              <w:rPr>
                <w:lang w:val="sk-SK"/>
              </w:rPr>
              <w:t>Povinné</w:t>
            </w:r>
          </w:p>
        </w:tc>
        <w:tc>
          <w:tcPr>
            <w:tcW w:w="5765" w:type="dxa"/>
          </w:tcPr>
          <w:p w14:paraId="32624FCE" w14:textId="0B3BDFBE" w:rsidR="02C14962" w:rsidRDefault="02C14962" w:rsidP="02C14962">
            <w:pPr>
              <w:rPr>
                <w:lang w:val="sk-SK"/>
              </w:rPr>
            </w:pPr>
            <w:r w:rsidRPr="02C14962">
              <w:rPr>
                <w:lang w:val="sk-SK"/>
              </w:rPr>
              <w:t>Identifikovať, či v rámci riešenia danej agendy/oblasti  sú vytvárané evidencie a údaje, ktoré sú potrebné v  konaniach iných OVM pri výkone ich agendy, ktoré sú kandidátmi na referenčné údaje (sú jednoznačné a jedinečné k subjektu evidencie - osobe, javu alebo skutočnosti). Príkladom môžu byť identifikačné údaje alebo jedinečné atribúty subjektu evidencie ako potvrdenia o dosiahnutom vzdelaní osoby, dátumy evidencie osoby v danej evidencii a podobne. Vtedy je potrebné, aby súčasťou projektu bolo aj zabezpečenie procesu vyhlásenia referenčných údajov.</w:t>
            </w:r>
          </w:p>
        </w:tc>
        <w:tc>
          <w:tcPr>
            <w:tcW w:w="1038" w:type="dxa"/>
          </w:tcPr>
          <w:p w14:paraId="084965B7" w14:textId="77777777" w:rsidR="02C14962" w:rsidRDefault="02C14962" w:rsidP="02C14962">
            <w:pPr>
              <w:rPr>
                <w:highlight w:val="red"/>
                <w:lang w:val="sk-SK"/>
              </w:rPr>
            </w:pPr>
          </w:p>
        </w:tc>
      </w:tr>
      <w:tr w:rsidR="02C14962" w14:paraId="6E846A9F" w14:textId="77777777" w:rsidTr="0C4B27AE">
        <w:tc>
          <w:tcPr>
            <w:tcW w:w="1402" w:type="dxa"/>
          </w:tcPr>
          <w:p w14:paraId="736DA141" w14:textId="03C5295E" w:rsidR="02C14962" w:rsidRDefault="02C14962" w:rsidP="02C14962">
            <w:pPr>
              <w:rPr>
                <w:lang w:val="sk-SK"/>
              </w:rPr>
            </w:pPr>
            <w:r w:rsidRPr="02C14962">
              <w:rPr>
                <w:lang w:val="sk-SK"/>
              </w:rPr>
              <w:t>Otvorené údaje</w:t>
            </w:r>
          </w:p>
        </w:tc>
        <w:tc>
          <w:tcPr>
            <w:tcW w:w="1145" w:type="dxa"/>
          </w:tcPr>
          <w:p w14:paraId="78D97B47" w14:textId="4B1C6FF7" w:rsidR="02C14962" w:rsidRDefault="02C14962" w:rsidP="02C14962">
            <w:pPr>
              <w:rPr>
                <w:lang w:val="sk-SK"/>
              </w:rPr>
            </w:pPr>
            <w:r w:rsidRPr="02C14962">
              <w:rPr>
                <w:lang w:val="sk-SK"/>
              </w:rPr>
              <w:t>Povinné</w:t>
            </w:r>
          </w:p>
        </w:tc>
        <w:tc>
          <w:tcPr>
            <w:tcW w:w="5765" w:type="dxa"/>
          </w:tcPr>
          <w:p w14:paraId="4CCCB883" w14:textId="76375AF8" w:rsidR="02C14962" w:rsidRDefault="02C14962" w:rsidP="02C14962">
            <w:pPr>
              <w:rPr>
                <w:lang w:val="sk-SK"/>
              </w:rPr>
            </w:pPr>
            <w:r w:rsidRPr="02C14962">
              <w:rPr>
                <w:lang w:val="sk-SK"/>
              </w:rPr>
              <w:t>Koncepčne vymenovať, ktoré údaje budú poskytované ako otvorené údaje.</w:t>
            </w:r>
          </w:p>
        </w:tc>
        <w:tc>
          <w:tcPr>
            <w:tcW w:w="1038" w:type="dxa"/>
          </w:tcPr>
          <w:p w14:paraId="434559E5" w14:textId="55415160" w:rsidR="02C14962" w:rsidRDefault="02C14962" w:rsidP="02C14962">
            <w:pPr>
              <w:rPr>
                <w:highlight w:val="red"/>
                <w:lang w:val="sk-SK"/>
              </w:rPr>
            </w:pPr>
          </w:p>
        </w:tc>
      </w:tr>
      <w:tr w:rsidR="02C14962" w14:paraId="2E57E7DD" w14:textId="77777777" w:rsidTr="0C4B27AE">
        <w:tc>
          <w:tcPr>
            <w:tcW w:w="1402" w:type="dxa"/>
          </w:tcPr>
          <w:p w14:paraId="5A4ED19E" w14:textId="6D1D79DD" w:rsidR="02C14962" w:rsidRDefault="02C14962" w:rsidP="02C14962">
            <w:pPr>
              <w:rPr>
                <w:lang w:val="sk-SK"/>
              </w:rPr>
            </w:pPr>
            <w:r w:rsidRPr="02C14962">
              <w:rPr>
                <w:lang w:val="sk-SK"/>
              </w:rPr>
              <w:t>Údaje o subjekte</w:t>
            </w:r>
          </w:p>
        </w:tc>
        <w:tc>
          <w:tcPr>
            <w:tcW w:w="1145" w:type="dxa"/>
          </w:tcPr>
          <w:p w14:paraId="61E47C69" w14:textId="3D8EC48F" w:rsidR="02C14962" w:rsidRDefault="02C14962" w:rsidP="02C14962">
            <w:pPr>
              <w:rPr>
                <w:lang w:val="sk-SK"/>
              </w:rPr>
            </w:pPr>
            <w:r w:rsidRPr="02C14962">
              <w:rPr>
                <w:lang w:val="sk-SK"/>
              </w:rPr>
              <w:t>Povinné</w:t>
            </w:r>
          </w:p>
        </w:tc>
        <w:tc>
          <w:tcPr>
            <w:tcW w:w="5765" w:type="dxa"/>
          </w:tcPr>
          <w:p w14:paraId="4D8DAE9C" w14:textId="2A9EC3EC" w:rsidR="02C14962" w:rsidRDefault="02C14962" w:rsidP="02C14962">
            <w:pPr>
              <w:rPr>
                <w:lang w:val="sk-SK"/>
              </w:rPr>
            </w:pPr>
            <w:r w:rsidRPr="02C14962">
              <w:rPr>
                <w:lang w:val="sk-SK"/>
              </w:rPr>
              <w:t>Koncepčne vymenovať, ktoré údaje o subjekte budú k dispozícii v službe "moje dáta".</w:t>
            </w:r>
          </w:p>
        </w:tc>
        <w:tc>
          <w:tcPr>
            <w:tcW w:w="1038" w:type="dxa"/>
          </w:tcPr>
          <w:p w14:paraId="6C3DE10C" w14:textId="0571478E" w:rsidR="02C14962" w:rsidRDefault="02C14962" w:rsidP="02C14962">
            <w:pPr>
              <w:rPr>
                <w:highlight w:val="red"/>
                <w:lang w:val="sk-SK"/>
              </w:rPr>
            </w:pPr>
          </w:p>
        </w:tc>
      </w:tr>
      <w:tr w:rsidR="02C14962" w14:paraId="197B1997" w14:textId="77777777" w:rsidTr="0C4B27AE">
        <w:tc>
          <w:tcPr>
            <w:tcW w:w="1402" w:type="dxa"/>
          </w:tcPr>
          <w:p w14:paraId="75C09163" w14:textId="49CE1A72" w:rsidR="02C14962" w:rsidRDefault="02C14962" w:rsidP="02C14962">
            <w:pPr>
              <w:rPr>
                <w:lang w:val="sk-SK"/>
              </w:rPr>
            </w:pPr>
            <w:r w:rsidRPr="02C14962">
              <w:rPr>
                <w:lang w:val="sk-SK"/>
              </w:rPr>
              <w:t>Centrálny model údajov VS založený na ontológiách</w:t>
            </w:r>
          </w:p>
          <w:p w14:paraId="01A76D33" w14:textId="2CACD9B5" w:rsidR="02C14962" w:rsidRDefault="02C14962" w:rsidP="02C14962">
            <w:pPr>
              <w:rPr>
                <w:lang w:val="sk-SK"/>
              </w:rPr>
            </w:pPr>
          </w:p>
        </w:tc>
        <w:tc>
          <w:tcPr>
            <w:tcW w:w="1145" w:type="dxa"/>
          </w:tcPr>
          <w:p w14:paraId="0EBF4CA2" w14:textId="730541F3" w:rsidR="02C14962" w:rsidRDefault="02C14962" w:rsidP="02C14962">
            <w:pPr>
              <w:rPr>
                <w:lang w:val="sk-SK"/>
              </w:rPr>
            </w:pPr>
            <w:r w:rsidRPr="02C14962">
              <w:rPr>
                <w:lang w:val="sk-SK"/>
              </w:rPr>
              <w:t>Povinné</w:t>
            </w:r>
          </w:p>
        </w:tc>
        <w:tc>
          <w:tcPr>
            <w:tcW w:w="5765" w:type="dxa"/>
          </w:tcPr>
          <w:p w14:paraId="4A96EB13" w14:textId="25632061" w:rsidR="02C14962" w:rsidRDefault="0C4B27AE" w:rsidP="02C14962">
            <w:pPr>
              <w:rPr>
                <w:lang w:val="sk-SK"/>
              </w:rPr>
            </w:pPr>
            <w:r w:rsidRPr="0C4B27AE">
              <w:rPr>
                <w:rFonts w:eastAsia="Times New Roman" w:cs="Times New Roman"/>
                <w:lang w:val="sk-SK"/>
              </w:rPr>
              <w:t>Deklarácia: Model údajov riešenej agendy bude vychádzať z Centrálneho modelu údajov verejnej správy založeného na ontológiach. V prípade, že pre potreby riešenej agendy potrebné ontológie existovať nebudú, bude o ne požiadané prostredníctvom procesu štandardizácie dátových prvkov v príslušnej pracovnej skupine.</w:t>
            </w:r>
          </w:p>
        </w:tc>
        <w:tc>
          <w:tcPr>
            <w:tcW w:w="1038" w:type="dxa"/>
          </w:tcPr>
          <w:p w14:paraId="5909CC9A" w14:textId="20960169" w:rsidR="02C14962" w:rsidRDefault="02C14962" w:rsidP="02C14962">
            <w:pPr>
              <w:rPr>
                <w:lang w:val="sk-SK"/>
              </w:rPr>
            </w:pPr>
          </w:p>
        </w:tc>
      </w:tr>
      <w:tr w:rsidR="02C14962" w14:paraId="4B8B7E57" w14:textId="77777777" w:rsidTr="0C4B27AE">
        <w:tc>
          <w:tcPr>
            <w:tcW w:w="1402" w:type="dxa"/>
          </w:tcPr>
          <w:p w14:paraId="11F5B3FD" w14:textId="36AEE3CB" w:rsidR="02C14962" w:rsidRDefault="02C14962" w:rsidP="02C14962">
            <w:pPr>
              <w:rPr>
                <w:lang w:val="sk-SK"/>
              </w:rPr>
            </w:pPr>
            <w:r w:rsidRPr="02C14962">
              <w:rPr>
                <w:lang w:val="sk-SK"/>
              </w:rPr>
              <w:t>Použitie prepojených údajov pre otvorené údaje</w:t>
            </w:r>
          </w:p>
        </w:tc>
        <w:tc>
          <w:tcPr>
            <w:tcW w:w="1145" w:type="dxa"/>
          </w:tcPr>
          <w:p w14:paraId="2B7718B8" w14:textId="6FDF8330" w:rsidR="02C14962" w:rsidRDefault="02C14962" w:rsidP="02C14962">
            <w:pPr>
              <w:rPr>
                <w:lang w:val="sk-SK"/>
              </w:rPr>
            </w:pPr>
            <w:r w:rsidRPr="02C14962">
              <w:rPr>
                <w:lang w:val="sk-SK"/>
              </w:rPr>
              <w:t>Povinné</w:t>
            </w:r>
          </w:p>
        </w:tc>
        <w:tc>
          <w:tcPr>
            <w:tcW w:w="5765" w:type="dxa"/>
          </w:tcPr>
          <w:p w14:paraId="1FF24ED8" w14:textId="3614B9CA" w:rsidR="02C14962" w:rsidRDefault="0C4B27AE" w:rsidP="02C14962">
            <w:pPr>
              <w:rPr>
                <w:lang w:val="sk-SK"/>
              </w:rPr>
            </w:pPr>
            <w:r w:rsidRPr="0C4B27AE">
              <w:rPr>
                <w:rFonts w:eastAsia="Times New Roman" w:cs="Times New Roman"/>
                <w:lang w:val="sk-SK"/>
              </w:rPr>
              <w:t>Deklarácia: Všetky údaje publikované otvoreným spôsobom budú referencovateľné prostredníctvom registrovaných a schválených URI identifikátorov v Centrálnom metainformačnom systéme. V prípade, že pre potreby publikácie otvorených údajov URI neexistujú, bude o ne požiadané prostredníctvom procesu štandardizácie dátových prvkov v príslušnej pracovnej skupine.</w:t>
            </w:r>
          </w:p>
        </w:tc>
        <w:tc>
          <w:tcPr>
            <w:tcW w:w="1038" w:type="dxa"/>
          </w:tcPr>
          <w:p w14:paraId="3BB0BF6C" w14:textId="77777777" w:rsidR="02C14962" w:rsidRDefault="02C14962" w:rsidP="02C14962">
            <w:pPr>
              <w:rPr>
                <w:lang w:val="sk-SK"/>
              </w:rPr>
            </w:pPr>
          </w:p>
        </w:tc>
      </w:tr>
      <w:tr w:rsidR="02C14962" w14:paraId="29EDDD45" w14:textId="77777777" w:rsidTr="0C4B27AE">
        <w:tc>
          <w:tcPr>
            <w:tcW w:w="1402" w:type="dxa"/>
          </w:tcPr>
          <w:p w14:paraId="6786C043" w14:textId="77FB7594" w:rsidR="02C14962" w:rsidRDefault="02C14962" w:rsidP="02C14962">
            <w:pPr>
              <w:rPr>
                <w:lang w:val="sk-SK"/>
              </w:rPr>
            </w:pPr>
            <w:r w:rsidRPr="02C14962">
              <w:rPr>
                <w:lang w:val="sk-SK"/>
              </w:rPr>
              <w:t>Klasifikácia údajov</w:t>
            </w:r>
          </w:p>
        </w:tc>
        <w:tc>
          <w:tcPr>
            <w:tcW w:w="1145" w:type="dxa"/>
          </w:tcPr>
          <w:p w14:paraId="06F0B3FE" w14:textId="72013191" w:rsidR="02C14962" w:rsidRDefault="02C14962" w:rsidP="02C14962">
            <w:pPr>
              <w:rPr>
                <w:lang w:val="sk-SK"/>
              </w:rPr>
            </w:pPr>
            <w:r w:rsidRPr="02C14962">
              <w:rPr>
                <w:lang w:val="sk-SK"/>
              </w:rPr>
              <w:t>Povinné</w:t>
            </w:r>
          </w:p>
        </w:tc>
        <w:tc>
          <w:tcPr>
            <w:tcW w:w="5765" w:type="dxa"/>
          </w:tcPr>
          <w:p w14:paraId="5624B31E" w14:textId="3059480B" w:rsidR="02C14962" w:rsidRDefault="02C14962" w:rsidP="02C14962">
            <w:pPr>
              <w:rPr>
                <w:lang w:val="sk-SK"/>
              </w:rPr>
            </w:pPr>
            <w:r w:rsidRPr="02C14962">
              <w:rPr>
                <w:lang w:val="sk-SK"/>
              </w:rPr>
              <w:t>Uviesť, aké údaje z pohľadu klasifikácie údajov (uvedenej v SP Manažment údajov) budú v budúcom informačnom prostredí  spravované (explicitné určenie kategórií a podkategórií).</w:t>
            </w:r>
          </w:p>
        </w:tc>
        <w:tc>
          <w:tcPr>
            <w:tcW w:w="1038" w:type="dxa"/>
          </w:tcPr>
          <w:p w14:paraId="47D1C882" w14:textId="3D81E126" w:rsidR="02C14962" w:rsidRDefault="02C14962" w:rsidP="02C14962">
            <w:pPr>
              <w:rPr>
                <w:lang w:val="sk-SK"/>
              </w:rPr>
            </w:pPr>
          </w:p>
        </w:tc>
      </w:tr>
    </w:tbl>
    <w:p w14:paraId="0B6CEB8B" w14:textId="0D1AB17C" w:rsidR="00CC78D4" w:rsidRDefault="02C14962" w:rsidP="02C14962">
      <w:pPr>
        <w:pStyle w:val="Nadpis3"/>
        <w:rPr>
          <w:lang w:val="sk-SK"/>
        </w:rPr>
      </w:pPr>
      <w:r w:rsidRPr="02C14962">
        <w:rPr>
          <w:lang w:val="sk-SK"/>
        </w:rPr>
        <w:t>Aplikačná architektúra</w:t>
      </w:r>
    </w:p>
    <w:p w14:paraId="7BD7A7E2" w14:textId="33F3FBD8" w:rsidR="003346CB" w:rsidRPr="003346CB" w:rsidRDefault="49F1502B" w:rsidP="49F1502B">
      <w:pPr>
        <w:rPr>
          <w:lang w:val="sk-SK"/>
        </w:rPr>
      </w:pPr>
      <w:r w:rsidRPr="49F1502B">
        <w:rPr>
          <w:lang w:val="sk-SK"/>
        </w:rPr>
        <w:t xml:space="preserve">Aplikačná architektúra musí jasne definovať komponenty v budúcom stave a ich integráciu s centrálnymi komponentami manažmentu údajov. </w:t>
      </w:r>
    </w:p>
    <w:tbl>
      <w:tblPr>
        <w:tblStyle w:val="Mriekatabuky"/>
        <w:tblW w:w="9350" w:type="dxa"/>
        <w:tblLook w:val="04A0" w:firstRow="1" w:lastRow="0" w:firstColumn="1" w:lastColumn="0" w:noHBand="0" w:noVBand="1"/>
        <w:tblCaption w:val=""/>
        <w:tblDescription w:val=""/>
      </w:tblPr>
      <w:tblGrid>
        <w:gridCol w:w="1551"/>
        <w:gridCol w:w="1304"/>
        <w:gridCol w:w="5393"/>
        <w:gridCol w:w="1102"/>
      </w:tblGrid>
      <w:tr w:rsidR="004B513E" w:rsidRPr="005F1574" w14:paraId="57841E32" w14:textId="41CBA330" w:rsidTr="0C4B27AE">
        <w:trPr>
          <w:tblHeader/>
        </w:trPr>
        <w:tc>
          <w:tcPr>
            <w:tcW w:w="1551" w:type="dxa"/>
            <w:shd w:val="clear" w:color="auto" w:fill="DEEAF6" w:themeFill="accent5" w:themeFillTint="33"/>
          </w:tcPr>
          <w:p w14:paraId="7B63D56D" w14:textId="77777777" w:rsidR="004B513E" w:rsidRPr="005F1574" w:rsidRDefault="49F1502B" w:rsidP="49F1502B">
            <w:pPr>
              <w:rPr>
                <w:color w:val="1F4E79"/>
                <w:lang w:val="sk-SK"/>
              </w:rPr>
            </w:pPr>
            <w:r w:rsidRPr="49F1502B">
              <w:rPr>
                <w:color w:val="1F4E79"/>
                <w:lang w:val="sk-SK"/>
              </w:rPr>
              <w:lastRenderedPageBreak/>
              <w:t>Oblasť</w:t>
            </w:r>
          </w:p>
        </w:tc>
        <w:tc>
          <w:tcPr>
            <w:tcW w:w="1304" w:type="dxa"/>
            <w:shd w:val="clear" w:color="auto" w:fill="DEEAF6" w:themeFill="accent5" w:themeFillTint="33"/>
          </w:tcPr>
          <w:p w14:paraId="3FFFAAD0" w14:textId="77777777" w:rsidR="004B513E" w:rsidRPr="005F1574" w:rsidRDefault="49F1502B" w:rsidP="49F1502B">
            <w:pPr>
              <w:rPr>
                <w:color w:val="1F4E79"/>
                <w:lang w:val="sk-SK"/>
              </w:rPr>
            </w:pPr>
            <w:r w:rsidRPr="49F1502B">
              <w:rPr>
                <w:color w:val="1F4E79"/>
                <w:lang w:val="sk-SK"/>
              </w:rPr>
              <w:t>Miera záväznosti</w:t>
            </w:r>
          </w:p>
        </w:tc>
        <w:tc>
          <w:tcPr>
            <w:tcW w:w="5393" w:type="dxa"/>
            <w:shd w:val="clear" w:color="auto" w:fill="DEEAF6" w:themeFill="accent5" w:themeFillTint="33"/>
          </w:tcPr>
          <w:p w14:paraId="4E48BCE9" w14:textId="6A7EFD63" w:rsidR="004B513E" w:rsidRPr="005F1574" w:rsidRDefault="49F1502B" w:rsidP="49F1502B">
            <w:pPr>
              <w:rPr>
                <w:color w:val="1F4E79"/>
                <w:lang w:val="sk-SK"/>
              </w:rPr>
            </w:pPr>
            <w:r w:rsidRPr="49F1502B">
              <w:rPr>
                <w:color w:val="1F4E79"/>
                <w:lang w:val="sk-SK"/>
              </w:rPr>
              <w:t>Kontrolované kritérium</w:t>
            </w:r>
          </w:p>
        </w:tc>
        <w:tc>
          <w:tcPr>
            <w:tcW w:w="1102" w:type="dxa"/>
            <w:shd w:val="clear" w:color="auto" w:fill="DEEAF6" w:themeFill="accent5" w:themeFillTint="33"/>
          </w:tcPr>
          <w:p w14:paraId="3C4031F1" w14:textId="35B13A78" w:rsidR="004B513E" w:rsidRPr="06A90D0C" w:rsidRDefault="49F1502B" w:rsidP="49F1502B">
            <w:pPr>
              <w:rPr>
                <w:color w:val="1F4E79"/>
                <w:lang w:val="sk-SK"/>
              </w:rPr>
            </w:pPr>
            <w:r w:rsidRPr="49F1502B">
              <w:rPr>
                <w:color w:val="1F4E79"/>
                <w:lang w:val="sk-SK"/>
              </w:rPr>
              <w:t>Áno</w:t>
            </w:r>
            <w:r w:rsidRPr="49F1502B">
              <w:rPr>
                <w:color w:val="1F4E79"/>
              </w:rPr>
              <w:t>/Nie</w:t>
            </w:r>
          </w:p>
        </w:tc>
      </w:tr>
      <w:tr w:rsidR="003346CB" w:rsidRPr="001B0C66" w14:paraId="4012E4CE" w14:textId="5CBEB2C8" w:rsidTr="0C4B27AE">
        <w:tc>
          <w:tcPr>
            <w:tcW w:w="1551" w:type="dxa"/>
          </w:tcPr>
          <w:p w14:paraId="1C34E5B5" w14:textId="28FE824E" w:rsidR="003346CB" w:rsidRDefault="49F1502B" w:rsidP="49F1502B">
            <w:pPr>
              <w:rPr>
                <w:lang w:val="sk-SK"/>
              </w:rPr>
            </w:pPr>
            <w:r w:rsidRPr="49F1502B">
              <w:rPr>
                <w:lang w:val="sk-SK"/>
              </w:rPr>
              <w:t>Architektúra aplikačná</w:t>
            </w:r>
          </w:p>
        </w:tc>
        <w:tc>
          <w:tcPr>
            <w:tcW w:w="1304" w:type="dxa"/>
          </w:tcPr>
          <w:p w14:paraId="345D1DDB" w14:textId="12B0F699" w:rsidR="003346CB" w:rsidRPr="001B0C66" w:rsidRDefault="49F1502B" w:rsidP="49F1502B">
            <w:pPr>
              <w:rPr>
                <w:lang w:val="sk-SK"/>
              </w:rPr>
            </w:pPr>
            <w:r w:rsidRPr="49F1502B">
              <w:rPr>
                <w:lang w:val="sk-SK"/>
              </w:rPr>
              <w:t>Povinné</w:t>
            </w:r>
          </w:p>
        </w:tc>
        <w:tc>
          <w:tcPr>
            <w:tcW w:w="5393" w:type="dxa"/>
          </w:tcPr>
          <w:p w14:paraId="734F30E0" w14:textId="788EC68A" w:rsidR="003346CB" w:rsidRDefault="02C14962" w:rsidP="02C14962">
            <w:pPr>
              <w:rPr>
                <w:lang w:val="sk-SK"/>
              </w:rPr>
            </w:pPr>
            <w:r w:rsidRPr="02C14962">
              <w:rPr>
                <w:lang w:val="sk-SK"/>
              </w:rPr>
              <w:t xml:space="preserve">Uviesť, že prepojenie bude realizované cez modul procesnej integrácie a integrácie údajov (s vyznačením použitých komponentov). Je podporované </w:t>
            </w:r>
            <w:r w:rsidRPr="02C14962">
              <w:rPr>
                <w:b/>
                <w:bCs/>
                <w:lang w:val="sk-SK"/>
              </w:rPr>
              <w:t>uniformné API</w:t>
            </w:r>
            <w:r w:rsidRPr="02C14962">
              <w:rPr>
                <w:lang w:val="sk-SK"/>
              </w:rPr>
              <w:t xml:space="preserve"> na prístup k údajom.</w:t>
            </w:r>
          </w:p>
        </w:tc>
        <w:tc>
          <w:tcPr>
            <w:tcW w:w="1102" w:type="dxa"/>
          </w:tcPr>
          <w:p w14:paraId="1ADD953A" w14:textId="77777777" w:rsidR="003346CB" w:rsidRPr="06A90D0C" w:rsidRDefault="003346CB" w:rsidP="003346CB">
            <w:pPr>
              <w:rPr>
                <w:lang w:val="sk-SK"/>
              </w:rPr>
            </w:pPr>
          </w:p>
        </w:tc>
      </w:tr>
      <w:tr w:rsidR="003346CB" w:rsidRPr="001B0C66" w14:paraId="385557D1" w14:textId="7541416D" w:rsidTr="0C4B27AE">
        <w:tc>
          <w:tcPr>
            <w:tcW w:w="1551" w:type="dxa"/>
          </w:tcPr>
          <w:p w14:paraId="10CE99D7" w14:textId="2FE85D79" w:rsidR="003346CB" w:rsidRDefault="02C14962" w:rsidP="02C14962">
            <w:pPr>
              <w:rPr>
                <w:lang w:val="sk-SK"/>
              </w:rPr>
            </w:pPr>
            <w:r w:rsidRPr="02C14962">
              <w:rPr>
                <w:lang w:val="sk-SK"/>
              </w:rPr>
              <w:t>Prístup k údajom</w:t>
            </w:r>
          </w:p>
        </w:tc>
        <w:tc>
          <w:tcPr>
            <w:tcW w:w="1304" w:type="dxa"/>
          </w:tcPr>
          <w:p w14:paraId="60F07E8E" w14:textId="35221372" w:rsidR="003346CB" w:rsidRPr="001B0C66" w:rsidRDefault="49F1502B" w:rsidP="49F1502B">
            <w:pPr>
              <w:rPr>
                <w:lang w:val="sk-SK"/>
              </w:rPr>
            </w:pPr>
            <w:r w:rsidRPr="49F1502B">
              <w:rPr>
                <w:lang w:val="sk-SK"/>
              </w:rPr>
              <w:t>Odporúčané</w:t>
            </w:r>
          </w:p>
        </w:tc>
        <w:tc>
          <w:tcPr>
            <w:tcW w:w="5393" w:type="dxa"/>
          </w:tcPr>
          <w:p w14:paraId="0534094C" w14:textId="5B2AACFC" w:rsidR="003346CB" w:rsidRDefault="0C4B27AE" w:rsidP="0C4B27AE">
            <w:pPr>
              <w:rPr>
                <w:lang w:val="sk-SK"/>
              </w:rPr>
            </w:pPr>
            <w:r w:rsidRPr="0C4B27AE">
              <w:rPr>
                <w:lang w:val="sk-SK"/>
              </w:rPr>
              <w:t>Uviesť, že údaje implementovaného projektu budú k dispozícii podľa nastaveného modelu prístupov a oprávnení v nadväznosti na klasifikáciu údajov (napríklad. registrovaný, verejný, publikovanie otvorených datasetov).</w:t>
            </w:r>
          </w:p>
        </w:tc>
        <w:tc>
          <w:tcPr>
            <w:tcW w:w="1102" w:type="dxa"/>
          </w:tcPr>
          <w:p w14:paraId="6377D979" w14:textId="77777777" w:rsidR="003346CB" w:rsidRPr="54CE20B3" w:rsidRDefault="003346CB" w:rsidP="003346CB">
            <w:pPr>
              <w:rPr>
                <w:lang w:val="sk-SK"/>
              </w:rPr>
            </w:pPr>
          </w:p>
        </w:tc>
      </w:tr>
      <w:tr w:rsidR="003346CB" w:rsidRPr="001B0C66" w14:paraId="733D0AB7" w14:textId="4BB0A6F6" w:rsidTr="0C4B27AE">
        <w:tc>
          <w:tcPr>
            <w:tcW w:w="1551" w:type="dxa"/>
            <w:vMerge w:val="restart"/>
          </w:tcPr>
          <w:p w14:paraId="0F3EC75E" w14:textId="5161EFAE" w:rsidR="003346CB" w:rsidRDefault="49F1502B" w:rsidP="49F1502B">
            <w:pPr>
              <w:rPr>
                <w:lang w:val="sk-SK"/>
              </w:rPr>
            </w:pPr>
            <w:r w:rsidRPr="49F1502B">
              <w:rPr>
                <w:lang w:val="sk-SK"/>
              </w:rPr>
              <w:t>Princípy</w:t>
            </w:r>
          </w:p>
        </w:tc>
        <w:tc>
          <w:tcPr>
            <w:tcW w:w="1304" w:type="dxa"/>
          </w:tcPr>
          <w:p w14:paraId="76731479" w14:textId="2E31CF9C" w:rsidR="003346CB" w:rsidRPr="001B0C66" w:rsidRDefault="49F1502B" w:rsidP="49F1502B">
            <w:pPr>
              <w:rPr>
                <w:lang w:val="sk-SK"/>
              </w:rPr>
            </w:pPr>
            <w:r w:rsidRPr="49F1502B">
              <w:rPr>
                <w:lang w:val="sk-SK"/>
              </w:rPr>
              <w:t>Povinné</w:t>
            </w:r>
          </w:p>
        </w:tc>
        <w:tc>
          <w:tcPr>
            <w:tcW w:w="5393" w:type="dxa"/>
          </w:tcPr>
          <w:p w14:paraId="4BD8F652" w14:textId="5C435CD1" w:rsidR="003346CB" w:rsidRPr="003346CB" w:rsidRDefault="02C14962" w:rsidP="003346CB">
            <w:pPr>
              <w:pStyle w:val="Bullet"/>
              <w:numPr>
                <w:ilvl w:val="0"/>
                <w:numId w:val="0"/>
              </w:numPr>
              <w:ind w:left="360" w:hanging="360"/>
            </w:pPr>
            <w:r>
              <w:t>Navrhnuté referenčné údaje sú kanonické.</w:t>
            </w:r>
          </w:p>
          <w:p w14:paraId="37E5500E" w14:textId="38014E71" w:rsidR="003346CB" w:rsidRPr="003346CB" w:rsidRDefault="003346CB" w:rsidP="02C14962">
            <w:pPr>
              <w:rPr>
                <w:lang w:val="sk-SK"/>
              </w:rPr>
            </w:pPr>
          </w:p>
        </w:tc>
        <w:tc>
          <w:tcPr>
            <w:tcW w:w="1102" w:type="dxa"/>
          </w:tcPr>
          <w:p w14:paraId="5301F88B" w14:textId="77777777" w:rsidR="003346CB" w:rsidRPr="06A90D0C" w:rsidRDefault="003346CB" w:rsidP="06A90D0C">
            <w:pPr>
              <w:rPr>
                <w:lang w:val="sk-SK"/>
              </w:rPr>
            </w:pPr>
          </w:p>
        </w:tc>
      </w:tr>
      <w:tr w:rsidR="003346CB" w:rsidRPr="001B0C66" w14:paraId="71D01B28" w14:textId="77777777" w:rsidTr="0C4B27AE">
        <w:tc>
          <w:tcPr>
            <w:tcW w:w="1551" w:type="dxa"/>
            <w:vMerge/>
          </w:tcPr>
          <w:p w14:paraId="7005A6E9" w14:textId="7632DC68" w:rsidR="003346CB" w:rsidRPr="54CE20B3" w:rsidRDefault="003346CB" w:rsidP="54CE20B3">
            <w:pPr>
              <w:rPr>
                <w:lang w:val="sk-SK"/>
              </w:rPr>
            </w:pPr>
          </w:p>
        </w:tc>
        <w:tc>
          <w:tcPr>
            <w:tcW w:w="1304" w:type="dxa"/>
          </w:tcPr>
          <w:p w14:paraId="23E1230C" w14:textId="5B914398" w:rsidR="003346CB" w:rsidRPr="54CE20B3" w:rsidRDefault="49F1502B" w:rsidP="49F1502B">
            <w:pPr>
              <w:rPr>
                <w:lang w:val="sk-SK"/>
              </w:rPr>
            </w:pPr>
            <w:r w:rsidRPr="49F1502B">
              <w:rPr>
                <w:lang w:val="sk-SK"/>
              </w:rPr>
              <w:t>Povinné</w:t>
            </w:r>
          </w:p>
        </w:tc>
        <w:tc>
          <w:tcPr>
            <w:tcW w:w="5393" w:type="dxa"/>
          </w:tcPr>
          <w:p w14:paraId="0F0A4B38" w14:textId="694A2300" w:rsidR="003346CB" w:rsidRPr="003346CB" w:rsidRDefault="0C4B27AE" w:rsidP="0C4B27AE">
            <w:pPr>
              <w:rPr>
                <w:lang w:val="sk-SK"/>
              </w:rPr>
            </w:pPr>
            <w:r w:rsidRPr="0C4B27AE">
              <w:rPr>
                <w:lang w:val="sk-SK"/>
              </w:rPr>
              <w:t>Navrhnuté referenčné údaje reprezentujú minimálny zmysluplný dataset - Ak je potrebné, aby boli spolu s referenčnými údajmi zdieľané aj údaje, ktoré sú ako referenčné vedené v inom referenčnom registri, nezdieľajú sa hodnoty týchto údajov ale odkazy</w:t>
            </w:r>
          </w:p>
        </w:tc>
        <w:tc>
          <w:tcPr>
            <w:tcW w:w="1102" w:type="dxa"/>
          </w:tcPr>
          <w:p w14:paraId="18F45E3D" w14:textId="77777777" w:rsidR="003346CB" w:rsidRPr="06A90D0C" w:rsidRDefault="003346CB" w:rsidP="06A90D0C">
            <w:pPr>
              <w:rPr>
                <w:lang w:val="sk-SK"/>
              </w:rPr>
            </w:pPr>
          </w:p>
        </w:tc>
      </w:tr>
      <w:tr w:rsidR="003346CB" w:rsidRPr="001B0C66" w14:paraId="758D75BD" w14:textId="77777777" w:rsidTr="0C4B27AE">
        <w:tc>
          <w:tcPr>
            <w:tcW w:w="1551" w:type="dxa"/>
            <w:vMerge/>
          </w:tcPr>
          <w:p w14:paraId="5A27B943" w14:textId="265A169C" w:rsidR="003346CB" w:rsidRDefault="003346CB" w:rsidP="54CE20B3">
            <w:pPr>
              <w:rPr>
                <w:lang w:val="sk-SK"/>
              </w:rPr>
            </w:pPr>
          </w:p>
        </w:tc>
        <w:tc>
          <w:tcPr>
            <w:tcW w:w="1304" w:type="dxa"/>
          </w:tcPr>
          <w:p w14:paraId="40FB1DAD" w14:textId="1FAB7FB6" w:rsidR="003346CB" w:rsidRPr="54CE20B3" w:rsidRDefault="49F1502B" w:rsidP="49F1502B">
            <w:pPr>
              <w:rPr>
                <w:lang w:val="sk-SK"/>
              </w:rPr>
            </w:pPr>
            <w:r w:rsidRPr="49F1502B">
              <w:rPr>
                <w:lang w:val="sk-SK"/>
              </w:rPr>
              <w:t>Povinné</w:t>
            </w:r>
          </w:p>
        </w:tc>
        <w:tc>
          <w:tcPr>
            <w:tcW w:w="5393" w:type="dxa"/>
          </w:tcPr>
          <w:p w14:paraId="7CAE439F" w14:textId="48BEF07E" w:rsidR="003346CB" w:rsidRPr="003346CB" w:rsidRDefault="02C14962" w:rsidP="02C14962">
            <w:pPr>
              <w:rPr>
                <w:lang w:val="sk-SK"/>
              </w:rPr>
            </w:pPr>
            <w:r w:rsidRPr="02C14962">
              <w:rPr>
                <w:lang w:val="sk-SK"/>
              </w:rPr>
              <w:t>Navrhované referenčné registre sú živé zoznamy, nielen jednoducho publikované dáta - K údajom možno pristupovať ručne alebo strojovo prostredníctvom API.</w:t>
            </w:r>
          </w:p>
        </w:tc>
        <w:tc>
          <w:tcPr>
            <w:tcW w:w="1102" w:type="dxa"/>
          </w:tcPr>
          <w:p w14:paraId="4465196E" w14:textId="77777777" w:rsidR="003346CB" w:rsidRDefault="003346CB" w:rsidP="06A90D0C">
            <w:pPr>
              <w:rPr>
                <w:lang w:val="sk-SK"/>
              </w:rPr>
            </w:pPr>
          </w:p>
        </w:tc>
      </w:tr>
      <w:tr w:rsidR="004B513E" w:rsidRPr="001B0C66" w14:paraId="5B555F7E" w14:textId="2296CB5F" w:rsidTr="0C4B27AE">
        <w:tc>
          <w:tcPr>
            <w:tcW w:w="1551" w:type="dxa"/>
          </w:tcPr>
          <w:p w14:paraId="07D10253" w14:textId="216A9801" w:rsidR="004B513E" w:rsidRDefault="49F1502B" w:rsidP="49F1502B">
            <w:pPr>
              <w:rPr>
                <w:lang w:val="sk-SK"/>
              </w:rPr>
            </w:pPr>
            <w:r w:rsidRPr="49F1502B">
              <w:rPr>
                <w:lang w:val="sk-SK"/>
              </w:rPr>
              <w:t>Používanie URI identifikátorov v službách</w:t>
            </w:r>
          </w:p>
        </w:tc>
        <w:tc>
          <w:tcPr>
            <w:tcW w:w="1304" w:type="dxa"/>
          </w:tcPr>
          <w:p w14:paraId="7852D6BB" w14:textId="533B6F15" w:rsidR="004B513E" w:rsidRPr="001B0C66" w:rsidRDefault="49F1502B" w:rsidP="49F1502B">
            <w:pPr>
              <w:rPr>
                <w:lang w:val="sk-SK"/>
              </w:rPr>
            </w:pPr>
            <w:r w:rsidRPr="49F1502B">
              <w:rPr>
                <w:lang w:val="sk-SK"/>
              </w:rPr>
              <w:t>Povinné</w:t>
            </w:r>
          </w:p>
        </w:tc>
        <w:tc>
          <w:tcPr>
            <w:tcW w:w="5393" w:type="dxa"/>
          </w:tcPr>
          <w:p w14:paraId="1D04C710" w14:textId="4C9B4929" w:rsidR="004B513E" w:rsidRDefault="0C4B27AE" w:rsidP="0C4B27AE">
            <w:pPr>
              <w:rPr>
                <w:lang w:val="sk-SK"/>
              </w:rPr>
            </w:pPr>
            <w:r w:rsidRPr="0C4B27AE">
              <w:rPr>
                <w:rFonts w:eastAsia="Times New Roman" w:cs="Times New Roman"/>
                <w:lang w:val="sk-SK"/>
              </w:rPr>
              <w:t>Deklarácia: Všetky poskytované aplikačné služby v rámci riešenej agendy budú vystavovať také rozhrania, ktoré pre identifikáciu vstupno/výstupných entít používajú URI identifikátory registrované a schválené v Centrálnom metainformačnom systéme. V prípade, že pre potreby riešenej agendy potrebné referenčné URI neexistujú, bude o ne požiadať prostredníctvom procesu štandardizácie dátových prvkov v príslušnej pracovnej skupine.</w:t>
            </w:r>
          </w:p>
        </w:tc>
        <w:tc>
          <w:tcPr>
            <w:tcW w:w="1102" w:type="dxa"/>
          </w:tcPr>
          <w:p w14:paraId="0E04B49C" w14:textId="77777777" w:rsidR="004B513E" w:rsidRPr="5B7DB757" w:rsidRDefault="004B513E" w:rsidP="5B7DB757">
            <w:pPr>
              <w:rPr>
                <w:lang w:val="sk-SK"/>
              </w:rPr>
            </w:pPr>
          </w:p>
        </w:tc>
      </w:tr>
      <w:tr w:rsidR="003346CB" w:rsidRPr="001B0C66" w14:paraId="0271FD5F" w14:textId="79B55482" w:rsidTr="0C4B27AE">
        <w:tc>
          <w:tcPr>
            <w:tcW w:w="1551" w:type="dxa"/>
          </w:tcPr>
          <w:p w14:paraId="753D44D4" w14:textId="0677DB6C" w:rsidR="003346CB" w:rsidRDefault="49F1502B" w:rsidP="49F1502B">
            <w:pPr>
              <w:rPr>
                <w:lang w:val="sk-SK"/>
              </w:rPr>
            </w:pPr>
            <w:r w:rsidRPr="49F1502B">
              <w:rPr>
                <w:lang w:val="sk-SK"/>
              </w:rPr>
              <w:t>Manažment osobných údajov</w:t>
            </w:r>
          </w:p>
        </w:tc>
        <w:tc>
          <w:tcPr>
            <w:tcW w:w="1304" w:type="dxa"/>
          </w:tcPr>
          <w:p w14:paraId="4A8673F9" w14:textId="46797D5B" w:rsidR="003346CB" w:rsidRPr="001B0C66" w:rsidRDefault="49F1502B" w:rsidP="49F1502B">
            <w:pPr>
              <w:rPr>
                <w:lang w:val="sk-SK"/>
              </w:rPr>
            </w:pPr>
            <w:r w:rsidRPr="49F1502B">
              <w:rPr>
                <w:lang w:val="sk-SK"/>
              </w:rPr>
              <w:t>Povinné</w:t>
            </w:r>
          </w:p>
        </w:tc>
        <w:tc>
          <w:tcPr>
            <w:tcW w:w="5393" w:type="dxa"/>
          </w:tcPr>
          <w:p w14:paraId="231BF425" w14:textId="4B899065" w:rsidR="003346CB" w:rsidRDefault="49F1502B" w:rsidP="49F1502B">
            <w:pPr>
              <w:rPr>
                <w:lang w:val="sk-SK"/>
              </w:rPr>
            </w:pPr>
            <w:r w:rsidRPr="49F1502B">
              <w:rPr>
                <w:lang w:val="sk-SK"/>
              </w:rPr>
              <w:t>Zaviazať sa, že všetky údaje, ktoré obsahujú osobné údaje, budú prístupné ako "moje dáta" a termín, od kedy.</w:t>
            </w:r>
          </w:p>
        </w:tc>
        <w:tc>
          <w:tcPr>
            <w:tcW w:w="1102" w:type="dxa"/>
          </w:tcPr>
          <w:p w14:paraId="3C77E7D4" w14:textId="77777777" w:rsidR="003346CB" w:rsidRPr="5B7DB757" w:rsidRDefault="003346CB" w:rsidP="003346CB">
            <w:pPr>
              <w:rPr>
                <w:lang w:val="sk-SK"/>
              </w:rPr>
            </w:pPr>
          </w:p>
        </w:tc>
      </w:tr>
      <w:tr w:rsidR="003346CB" w:rsidRPr="001B0C66" w14:paraId="12F86958" w14:textId="64D678E0" w:rsidTr="0C4B27AE">
        <w:tc>
          <w:tcPr>
            <w:tcW w:w="1551" w:type="dxa"/>
          </w:tcPr>
          <w:p w14:paraId="228967E1" w14:textId="64D6E074" w:rsidR="003346CB" w:rsidRDefault="49F1502B" w:rsidP="49F1502B">
            <w:pPr>
              <w:rPr>
                <w:lang w:val="sk-SK"/>
              </w:rPr>
            </w:pPr>
            <w:r w:rsidRPr="49F1502B">
              <w:rPr>
                <w:lang w:val="sk-SK"/>
              </w:rPr>
              <w:t>Logovanie použitia osobných údajov</w:t>
            </w:r>
          </w:p>
        </w:tc>
        <w:tc>
          <w:tcPr>
            <w:tcW w:w="1304" w:type="dxa"/>
          </w:tcPr>
          <w:p w14:paraId="0C62D8C4" w14:textId="446E4DB1" w:rsidR="003346CB" w:rsidRPr="001B0C66" w:rsidRDefault="49F1502B" w:rsidP="49F1502B">
            <w:pPr>
              <w:rPr>
                <w:lang w:val="sk-SK"/>
              </w:rPr>
            </w:pPr>
            <w:r w:rsidRPr="49F1502B">
              <w:rPr>
                <w:lang w:val="sk-SK"/>
              </w:rPr>
              <w:t>Povinné</w:t>
            </w:r>
          </w:p>
        </w:tc>
        <w:tc>
          <w:tcPr>
            <w:tcW w:w="5393" w:type="dxa"/>
          </w:tcPr>
          <w:p w14:paraId="47228941" w14:textId="60395088" w:rsidR="003346CB" w:rsidRPr="001B0C66" w:rsidRDefault="0C4B27AE" w:rsidP="0C4B27AE">
            <w:pPr>
              <w:rPr>
                <w:lang w:val="sk-SK"/>
              </w:rPr>
            </w:pPr>
            <w:r w:rsidRPr="0C4B27AE">
              <w:rPr>
                <w:lang w:val="sk-SK"/>
              </w:rPr>
              <w:t>Zaviazať sa, že informačný systém zabezpečí zaznamenávanie logov, kto a aké informácie o fyzickej osobe alebo právnickej osobe, na aký účel a logy poskytovať službe "moje d</w:t>
            </w:r>
            <w:r w:rsidR="00DA46DE">
              <w:t>á</w:t>
            </w:r>
            <w:r w:rsidRPr="0C4B27AE">
              <w:rPr>
                <w:lang w:val="sk-SK"/>
              </w:rPr>
              <w:t>ta" a termín, od kedy.</w:t>
            </w:r>
          </w:p>
        </w:tc>
        <w:tc>
          <w:tcPr>
            <w:tcW w:w="1102" w:type="dxa"/>
          </w:tcPr>
          <w:p w14:paraId="12E81859" w14:textId="77777777" w:rsidR="003346CB" w:rsidRPr="06A90D0C" w:rsidRDefault="003346CB" w:rsidP="003346CB">
            <w:pPr>
              <w:rPr>
                <w:lang w:val="sk-SK"/>
              </w:rPr>
            </w:pPr>
          </w:p>
        </w:tc>
      </w:tr>
    </w:tbl>
    <w:p w14:paraId="008A3BD7" w14:textId="521898EB" w:rsidR="00A227C1" w:rsidRDefault="49F1502B" w:rsidP="49F1502B">
      <w:pPr>
        <w:pStyle w:val="Nadpis3"/>
        <w:rPr>
          <w:lang w:val="sk-SK"/>
        </w:rPr>
      </w:pPr>
      <w:r w:rsidRPr="49F1502B">
        <w:rPr>
          <w:lang w:val="sk-SK"/>
        </w:rPr>
        <w:t>Implementácia a migrácia</w:t>
      </w:r>
    </w:p>
    <w:tbl>
      <w:tblPr>
        <w:tblStyle w:val="Mriekatabuky"/>
        <w:tblW w:w="5000" w:type="pct"/>
        <w:tblLook w:val="04A0" w:firstRow="1" w:lastRow="0" w:firstColumn="1" w:lastColumn="0" w:noHBand="0" w:noVBand="1"/>
        <w:tblCaption w:val=""/>
        <w:tblDescription w:val=""/>
      </w:tblPr>
      <w:tblGrid>
        <w:gridCol w:w="1194"/>
        <w:gridCol w:w="1145"/>
        <w:gridCol w:w="6076"/>
        <w:gridCol w:w="935"/>
      </w:tblGrid>
      <w:tr w:rsidR="004B513E" w:rsidRPr="005F1574" w14:paraId="2B8794E8" w14:textId="3BD16BA5" w:rsidTr="02C14962">
        <w:trPr>
          <w:tblHeader/>
        </w:trPr>
        <w:tc>
          <w:tcPr>
            <w:tcW w:w="639" w:type="pct"/>
            <w:shd w:val="clear" w:color="auto" w:fill="DEEAF6" w:themeFill="accent5" w:themeFillTint="33"/>
          </w:tcPr>
          <w:p w14:paraId="08323E5A" w14:textId="77777777" w:rsidR="004B513E" w:rsidRPr="005F1574" w:rsidRDefault="49F1502B" w:rsidP="49F1502B">
            <w:pPr>
              <w:rPr>
                <w:color w:val="1F4E79"/>
                <w:lang w:val="sk-SK"/>
              </w:rPr>
            </w:pPr>
            <w:r w:rsidRPr="49F1502B">
              <w:rPr>
                <w:color w:val="1F4E79"/>
                <w:lang w:val="sk-SK"/>
              </w:rPr>
              <w:t>Oblasť</w:t>
            </w:r>
          </w:p>
        </w:tc>
        <w:tc>
          <w:tcPr>
            <w:tcW w:w="612" w:type="pct"/>
            <w:shd w:val="clear" w:color="auto" w:fill="DEEAF6" w:themeFill="accent5" w:themeFillTint="33"/>
          </w:tcPr>
          <w:p w14:paraId="0A8EB7E6" w14:textId="77777777" w:rsidR="004B513E" w:rsidRPr="005F1574" w:rsidRDefault="49F1502B" w:rsidP="49F1502B">
            <w:pPr>
              <w:rPr>
                <w:color w:val="1F4E79"/>
                <w:lang w:val="sk-SK"/>
              </w:rPr>
            </w:pPr>
            <w:r w:rsidRPr="49F1502B">
              <w:rPr>
                <w:color w:val="1F4E79"/>
                <w:lang w:val="sk-SK"/>
              </w:rPr>
              <w:t>Miera záväznosti</w:t>
            </w:r>
          </w:p>
        </w:tc>
        <w:tc>
          <w:tcPr>
            <w:tcW w:w="3249" w:type="pct"/>
            <w:shd w:val="clear" w:color="auto" w:fill="DEEAF6" w:themeFill="accent5" w:themeFillTint="33"/>
          </w:tcPr>
          <w:p w14:paraId="2031A4AF" w14:textId="77777777" w:rsidR="004B513E" w:rsidRPr="005F1574" w:rsidRDefault="49F1502B" w:rsidP="49F1502B">
            <w:pPr>
              <w:rPr>
                <w:color w:val="1F4E79"/>
                <w:lang w:val="sk-SK"/>
              </w:rPr>
            </w:pPr>
            <w:r w:rsidRPr="49F1502B">
              <w:rPr>
                <w:color w:val="1F4E79"/>
                <w:lang w:val="sk-SK"/>
              </w:rPr>
              <w:t>Odporúčania</w:t>
            </w:r>
          </w:p>
        </w:tc>
        <w:tc>
          <w:tcPr>
            <w:tcW w:w="500" w:type="pct"/>
            <w:shd w:val="clear" w:color="auto" w:fill="DEEAF6" w:themeFill="accent5" w:themeFillTint="33"/>
          </w:tcPr>
          <w:p w14:paraId="6C1B6A76" w14:textId="77777777" w:rsidR="004B513E" w:rsidRPr="06A90D0C" w:rsidRDefault="004B513E" w:rsidP="06A90D0C">
            <w:pPr>
              <w:rPr>
                <w:color w:val="1F4E79"/>
                <w:lang w:val="sk-SK"/>
              </w:rPr>
            </w:pPr>
          </w:p>
        </w:tc>
      </w:tr>
      <w:tr w:rsidR="00546436" w14:paraId="6B7FD618" w14:textId="7126D2F1" w:rsidTr="02C14962">
        <w:tc>
          <w:tcPr>
            <w:tcW w:w="639" w:type="pct"/>
            <w:vMerge w:val="restart"/>
          </w:tcPr>
          <w:p w14:paraId="0B685F20" w14:textId="0D0F1987" w:rsidR="00546436" w:rsidRPr="00B05BA4" w:rsidRDefault="00546436" w:rsidP="49F1502B">
            <w:pPr>
              <w:rPr>
                <w:lang w:val="sk-SK"/>
              </w:rPr>
            </w:pPr>
            <w:r w:rsidRPr="49F1502B">
              <w:rPr>
                <w:lang w:val="sk-SK"/>
              </w:rPr>
              <w:t>Plánovanie</w:t>
            </w:r>
          </w:p>
        </w:tc>
        <w:tc>
          <w:tcPr>
            <w:tcW w:w="612" w:type="pct"/>
          </w:tcPr>
          <w:p w14:paraId="3E16161B" w14:textId="31BCD388" w:rsidR="00546436" w:rsidRPr="001B0C66" w:rsidRDefault="00546436" w:rsidP="49F1502B">
            <w:pPr>
              <w:rPr>
                <w:lang w:val="sk-SK"/>
              </w:rPr>
            </w:pPr>
            <w:r w:rsidRPr="49F1502B">
              <w:rPr>
                <w:lang w:val="sk-SK"/>
              </w:rPr>
              <w:t>Povinné</w:t>
            </w:r>
          </w:p>
        </w:tc>
        <w:tc>
          <w:tcPr>
            <w:tcW w:w="3249" w:type="pct"/>
          </w:tcPr>
          <w:p w14:paraId="705AEE96" w14:textId="2864D06D" w:rsidR="00546436" w:rsidRDefault="00546436" w:rsidP="02C14962">
            <w:pPr>
              <w:rPr>
                <w:lang w:val="sk-SK"/>
              </w:rPr>
            </w:pPr>
            <w:r w:rsidRPr="02C14962">
              <w:rPr>
                <w:lang w:val="sk-SK"/>
              </w:rPr>
              <w:t>Súčasťou aktivít musí byť vyčistenie údajov.</w:t>
            </w:r>
          </w:p>
        </w:tc>
        <w:tc>
          <w:tcPr>
            <w:tcW w:w="500" w:type="pct"/>
          </w:tcPr>
          <w:p w14:paraId="797763C7" w14:textId="77777777" w:rsidR="00546436" w:rsidRPr="54CE20B3" w:rsidRDefault="00546436" w:rsidP="54CE20B3">
            <w:pPr>
              <w:rPr>
                <w:lang w:val="sk-SK"/>
              </w:rPr>
            </w:pPr>
          </w:p>
        </w:tc>
      </w:tr>
      <w:tr w:rsidR="00546436" w14:paraId="2017DEC1" w14:textId="3C67235A" w:rsidTr="02C14962">
        <w:tc>
          <w:tcPr>
            <w:tcW w:w="639" w:type="pct"/>
            <w:vMerge/>
          </w:tcPr>
          <w:p w14:paraId="6CE2026B" w14:textId="14416250" w:rsidR="00546436" w:rsidRDefault="00546436" w:rsidP="54CE20B3">
            <w:pPr>
              <w:rPr>
                <w:lang w:val="sk-SK"/>
              </w:rPr>
            </w:pPr>
          </w:p>
        </w:tc>
        <w:tc>
          <w:tcPr>
            <w:tcW w:w="612" w:type="pct"/>
          </w:tcPr>
          <w:p w14:paraId="7D7FE845" w14:textId="6DD4D5EA" w:rsidR="00546436" w:rsidRDefault="00546436" w:rsidP="49F1502B">
            <w:pPr>
              <w:rPr>
                <w:lang w:val="sk-SK"/>
              </w:rPr>
            </w:pPr>
            <w:r w:rsidRPr="49F1502B">
              <w:rPr>
                <w:lang w:val="sk-SK"/>
              </w:rPr>
              <w:t>Povinné</w:t>
            </w:r>
          </w:p>
        </w:tc>
        <w:tc>
          <w:tcPr>
            <w:tcW w:w="3249" w:type="pct"/>
          </w:tcPr>
          <w:p w14:paraId="68E9BF0B" w14:textId="75CB0510" w:rsidR="00546436" w:rsidRDefault="00546436" w:rsidP="02C14962">
            <w:pPr>
              <w:rPr>
                <w:lang w:val="sk-SK"/>
              </w:rPr>
            </w:pPr>
            <w:r w:rsidRPr="02C14962">
              <w:rPr>
                <w:lang w:val="sk-SK"/>
              </w:rPr>
              <w:t>Súčasťou aktivít musí byť nastavenie procesov na riadenie a meranie kvality údajov a splnenie cieľov pre kvalitu údajov – explicitne sa tak prihlásiť k cieľom SP Manažment údajov.</w:t>
            </w:r>
          </w:p>
        </w:tc>
        <w:tc>
          <w:tcPr>
            <w:tcW w:w="500" w:type="pct"/>
          </w:tcPr>
          <w:p w14:paraId="5BC3FDDF" w14:textId="77777777" w:rsidR="00546436" w:rsidRPr="54CE20B3" w:rsidRDefault="00546436" w:rsidP="54CE20B3">
            <w:pPr>
              <w:rPr>
                <w:lang w:val="sk-SK"/>
              </w:rPr>
            </w:pPr>
          </w:p>
        </w:tc>
      </w:tr>
      <w:tr w:rsidR="00546436" w14:paraId="4D44F001" w14:textId="2E320CE6" w:rsidTr="02C14962">
        <w:tc>
          <w:tcPr>
            <w:tcW w:w="639" w:type="pct"/>
            <w:vMerge/>
          </w:tcPr>
          <w:p w14:paraId="71DE7EDA" w14:textId="7999F311" w:rsidR="00546436" w:rsidRDefault="00546436" w:rsidP="54CE20B3">
            <w:pPr>
              <w:rPr>
                <w:lang w:val="sk-SK"/>
              </w:rPr>
            </w:pPr>
          </w:p>
        </w:tc>
        <w:tc>
          <w:tcPr>
            <w:tcW w:w="612" w:type="pct"/>
          </w:tcPr>
          <w:p w14:paraId="38226058" w14:textId="58E3F5E0" w:rsidR="00546436" w:rsidRDefault="00546436" w:rsidP="49F1502B">
            <w:pPr>
              <w:rPr>
                <w:lang w:val="sk-SK"/>
              </w:rPr>
            </w:pPr>
            <w:r w:rsidRPr="49F1502B">
              <w:rPr>
                <w:lang w:val="sk-SK"/>
              </w:rPr>
              <w:t>Povinné</w:t>
            </w:r>
          </w:p>
        </w:tc>
        <w:tc>
          <w:tcPr>
            <w:tcW w:w="3249" w:type="pct"/>
          </w:tcPr>
          <w:p w14:paraId="61040829" w14:textId="0FD5342C" w:rsidR="00546436" w:rsidRDefault="00546436" w:rsidP="49F1502B">
            <w:pPr>
              <w:rPr>
                <w:lang w:val="sk-SK"/>
              </w:rPr>
            </w:pPr>
            <w:r w:rsidRPr="49F1502B">
              <w:rPr>
                <w:lang w:val="sk-SK"/>
              </w:rPr>
              <w:t>Súčasťou aktivít musí byť stotožňovanie a synchronizácia údajov.</w:t>
            </w:r>
          </w:p>
        </w:tc>
        <w:tc>
          <w:tcPr>
            <w:tcW w:w="500" w:type="pct"/>
          </w:tcPr>
          <w:p w14:paraId="5125A66D" w14:textId="77777777" w:rsidR="00546436" w:rsidRPr="54CE20B3" w:rsidRDefault="00546436" w:rsidP="54CE20B3">
            <w:pPr>
              <w:rPr>
                <w:lang w:val="sk-SK"/>
              </w:rPr>
            </w:pPr>
          </w:p>
        </w:tc>
      </w:tr>
      <w:tr w:rsidR="00546436" w14:paraId="073C4D19" w14:textId="4EE663B7" w:rsidTr="02C14962">
        <w:tc>
          <w:tcPr>
            <w:tcW w:w="639" w:type="pct"/>
            <w:vMerge/>
          </w:tcPr>
          <w:p w14:paraId="2595C214" w14:textId="015229C5" w:rsidR="00546436" w:rsidRDefault="00546436" w:rsidP="54CE20B3">
            <w:pPr>
              <w:rPr>
                <w:lang w:val="sk-SK"/>
              </w:rPr>
            </w:pPr>
          </w:p>
        </w:tc>
        <w:tc>
          <w:tcPr>
            <w:tcW w:w="612" w:type="pct"/>
          </w:tcPr>
          <w:p w14:paraId="31FADDE8" w14:textId="72FF45D1" w:rsidR="00546436" w:rsidRDefault="00546436" w:rsidP="49F1502B">
            <w:pPr>
              <w:rPr>
                <w:lang w:val="sk-SK"/>
              </w:rPr>
            </w:pPr>
            <w:r w:rsidRPr="49F1502B">
              <w:rPr>
                <w:lang w:val="sk-SK"/>
              </w:rPr>
              <w:t>Povinné</w:t>
            </w:r>
          </w:p>
        </w:tc>
        <w:tc>
          <w:tcPr>
            <w:tcW w:w="3249" w:type="pct"/>
          </w:tcPr>
          <w:p w14:paraId="00191313" w14:textId="40CF15C0" w:rsidR="00546436" w:rsidRDefault="00546436" w:rsidP="49F1502B">
            <w:pPr>
              <w:rPr>
                <w:lang w:val="sk-SK"/>
              </w:rPr>
            </w:pPr>
            <w:r w:rsidRPr="49F1502B">
              <w:rPr>
                <w:lang w:val="sk-SK"/>
              </w:rPr>
              <w:t>Súčasťou aktivít musí byť klasifikácia údajov a kategorizácia údajov.</w:t>
            </w:r>
          </w:p>
        </w:tc>
        <w:tc>
          <w:tcPr>
            <w:tcW w:w="500" w:type="pct"/>
          </w:tcPr>
          <w:p w14:paraId="778C43D6" w14:textId="77777777" w:rsidR="00546436" w:rsidRPr="54CE20B3" w:rsidRDefault="00546436" w:rsidP="54CE20B3">
            <w:pPr>
              <w:rPr>
                <w:lang w:val="sk-SK"/>
              </w:rPr>
            </w:pPr>
          </w:p>
        </w:tc>
      </w:tr>
      <w:tr w:rsidR="00546436" w14:paraId="66162C00" w14:textId="3D5A9FB7" w:rsidTr="02C14962">
        <w:tc>
          <w:tcPr>
            <w:tcW w:w="639" w:type="pct"/>
            <w:vMerge/>
          </w:tcPr>
          <w:p w14:paraId="0D3C7821" w14:textId="685C6E80" w:rsidR="00546436" w:rsidRDefault="00546436" w:rsidP="54CE20B3">
            <w:pPr>
              <w:rPr>
                <w:lang w:val="sk-SK"/>
              </w:rPr>
            </w:pPr>
          </w:p>
        </w:tc>
        <w:tc>
          <w:tcPr>
            <w:tcW w:w="612" w:type="pct"/>
          </w:tcPr>
          <w:p w14:paraId="300263F9" w14:textId="667313C2" w:rsidR="00546436" w:rsidRDefault="00546436" w:rsidP="49F1502B">
            <w:pPr>
              <w:rPr>
                <w:lang w:val="sk-SK"/>
              </w:rPr>
            </w:pPr>
            <w:r w:rsidRPr="49F1502B">
              <w:rPr>
                <w:lang w:val="sk-SK"/>
              </w:rPr>
              <w:t>Povinné</w:t>
            </w:r>
          </w:p>
        </w:tc>
        <w:tc>
          <w:tcPr>
            <w:tcW w:w="3249" w:type="pct"/>
          </w:tcPr>
          <w:p w14:paraId="1B3DACE7" w14:textId="73BB915E" w:rsidR="00546436" w:rsidRDefault="00546436" w:rsidP="49F1502B">
            <w:pPr>
              <w:rPr>
                <w:lang w:val="sk-SK"/>
              </w:rPr>
            </w:pPr>
            <w:r w:rsidRPr="49F1502B">
              <w:rPr>
                <w:lang w:val="sk-SK"/>
              </w:rPr>
              <w:t>Súčasťou aktivít musí byť vyhlásenie údajov, ktoré majú byť vyhlásené ako referenčné a v tomto prípade je súčasťou projektu aj proces vyhlásenia identifikovaných údajov za referenčné údaje, ktorý zabezpečuje UPPVII.</w:t>
            </w:r>
          </w:p>
        </w:tc>
        <w:tc>
          <w:tcPr>
            <w:tcW w:w="500" w:type="pct"/>
          </w:tcPr>
          <w:p w14:paraId="58ADF7A3" w14:textId="77777777" w:rsidR="00546436" w:rsidRPr="54CE20B3" w:rsidRDefault="00546436" w:rsidP="54CE20B3">
            <w:pPr>
              <w:rPr>
                <w:lang w:val="sk-SK"/>
              </w:rPr>
            </w:pPr>
          </w:p>
        </w:tc>
      </w:tr>
      <w:tr w:rsidR="00546436" w:rsidRPr="001B0C66" w14:paraId="3A1B2FEB" w14:textId="05178A5A" w:rsidTr="02C14962">
        <w:tc>
          <w:tcPr>
            <w:tcW w:w="639" w:type="pct"/>
            <w:vMerge/>
          </w:tcPr>
          <w:p w14:paraId="22453C40" w14:textId="77777777" w:rsidR="00546436" w:rsidRPr="001B0C66" w:rsidRDefault="00546436" w:rsidP="00A227C1">
            <w:pPr>
              <w:rPr>
                <w:lang w:val="sk-SK"/>
              </w:rPr>
            </w:pPr>
          </w:p>
        </w:tc>
        <w:tc>
          <w:tcPr>
            <w:tcW w:w="612" w:type="pct"/>
          </w:tcPr>
          <w:p w14:paraId="55251B85" w14:textId="263098A7" w:rsidR="00546436" w:rsidRPr="001B0C66" w:rsidRDefault="00546436" w:rsidP="49F1502B">
            <w:pPr>
              <w:rPr>
                <w:lang w:val="sk-SK"/>
              </w:rPr>
            </w:pPr>
            <w:r w:rsidRPr="49F1502B">
              <w:rPr>
                <w:lang w:val="sk-SK"/>
              </w:rPr>
              <w:t>Povinné</w:t>
            </w:r>
          </w:p>
        </w:tc>
        <w:tc>
          <w:tcPr>
            <w:tcW w:w="3249" w:type="pct"/>
          </w:tcPr>
          <w:p w14:paraId="0B9DA6F8" w14:textId="68425660" w:rsidR="00546436" w:rsidRPr="001B0C66" w:rsidRDefault="00546436" w:rsidP="49F1502B">
            <w:pPr>
              <w:rPr>
                <w:lang w:val="sk-SK"/>
              </w:rPr>
            </w:pPr>
            <w:r w:rsidRPr="49F1502B">
              <w:rPr>
                <w:lang w:val="sk-SK"/>
              </w:rPr>
              <w:t>Plánované míľniky projektu: uviesť, kedy čo bude dostupné (z pohľadu vyhlásenia referenčných údajov, zabezpečenie údajov pre „moje údaje“, stotožnenie údajov)</w:t>
            </w:r>
          </w:p>
        </w:tc>
        <w:tc>
          <w:tcPr>
            <w:tcW w:w="500" w:type="pct"/>
          </w:tcPr>
          <w:p w14:paraId="73235D8F" w14:textId="77777777" w:rsidR="00546436" w:rsidRPr="54CE20B3" w:rsidRDefault="00546436" w:rsidP="54CE20B3">
            <w:pPr>
              <w:rPr>
                <w:lang w:val="sk-SK"/>
              </w:rPr>
            </w:pPr>
          </w:p>
        </w:tc>
      </w:tr>
      <w:tr w:rsidR="00546436" w14:paraId="0250DB68" w14:textId="77777777" w:rsidTr="02C14962">
        <w:tc>
          <w:tcPr>
            <w:tcW w:w="639" w:type="pct"/>
            <w:vMerge/>
          </w:tcPr>
          <w:p w14:paraId="1A67C1B7" w14:textId="5DDD0F73" w:rsidR="00546436" w:rsidRDefault="00546436" w:rsidP="02C14962">
            <w:pPr>
              <w:rPr>
                <w:lang w:val="sk-SK"/>
              </w:rPr>
            </w:pPr>
          </w:p>
        </w:tc>
        <w:tc>
          <w:tcPr>
            <w:tcW w:w="612" w:type="pct"/>
          </w:tcPr>
          <w:p w14:paraId="564C1945" w14:textId="3B4FB2CF" w:rsidR="00546436" w:rsidRDefault="00546436" w:rsidP="02C14962">
            <w:pPr>
              <w:rPr>
                <w:lang w:val="sk-SK"/>
              </w:rPr>
            </w:pPr>
            <w:r w:rsidRPr="02C14962">
              <w:rPr>
                <w:lang w:val="sk-SK"/>
              </w:rPr>
              <w:t>Povinné</w:t>
            </w:r>
          </w:p>
        </w:tc>
        <w:tc>
          <w:tcPr>
            <w:tcW w:w="3249" w:type="pct"/>
          </w:tcPr>
          <w:p w14:paraId="2B31D75C" w14:textId="16B14DC7" w:rsidR="00546436" w:rsidRDefault="00546436" w:rsidP="02C14962">
            <w:pPr>
              <w:rPr>
                <w:lang w:val="sk-SK"/>
              </w:rPr>
            </w:pPr>
            <w:r w:rsidRPr="02C14962">
              <w:rPr>
                <w:lang w:val="sk-SK"/>
              </w:rPr>
              <w:t>Súčasťou aktivít musí byť zabezpečenie publikovania otvorených údajov.</w:t>
            </w:r>
          </w:p>
        </w:tc>
        <w:tc>
          <w:tcPr>
            <w:tcW w:w="500" w:type="pct"/>
          </w:tcPr>
          <w:p w14:paraId="5DED96AF" w14:textId="657E83FD" w:rsidR="00546436" w:rsidRDefault="00546436" w:rsidP="02C14962">
            <w:pPr>
              <w:rPr>
                <w:lang w:val="sk-SK"/>
              </w:rPr>
            </w:pPr>
          </w:p>
        </w:tc>
      </w:tr>
    </w:tbl>
    <w:p w14:paraId="27A10AE4" w14:textId="1519FD95" w:rsidR="00A227C1" w:rsidRDefault="49F1502B" w:rsidP="49F1502B">
      <w:pPr>
        <w:pStyle w:val="Nadpis3"/>
        <w:rPr>
          <w:lang w:val="sk-SK"/>
        </w:rPr>
      </w:pPr>
      <w:r w:rsidRPr="49F1502B">
        <w:rPr>
          <w:lang w:val="sk-SK"/>
        </w:rPr>
        <w:t>Prevádzka</w:t>
      </w:r>
    </w:p>
    <w:tbl>
      <w:tblPr>
        <w:tblStyle w:val="Mriekatabuky"/>
        <w:tblW w:w="5000" w:type="pct"/>
        <w:tblLook w:val="04A0" w:firstRow="1" w:lastRow="0" w:firstColumn="1" w:lastColumn="0" w:noHBand="0" w:noVBand="1"/>
      </w:tblPr>
      <w:tblGrid>
        <w:gridCol w:w="1340"/>
        <w:gridCol w:w="1145"/>
        <w:gridCol w:w="5891"/>
        <w:gridCol w:w="974"/>
      </w:tblGrid>
      <w:tr w:rsidR="004B513E" w:rsidRPr="005F1574" w14:paraId="3F53375A" w14:textId="7A9BD421" w:rsidTr="49F1502B">
        <w:trPr>
          <w:tblHeader/>
        </w:trPr>
        <w:tc>
          <w:tcPr>
            <w:tcW w:w="441" w:type="pct"/>
            <w:shd w:val="clear" w:color="auto" w:fill="DEEAF6" w:themeFill="accent5" w:themeFillTint="33"/>
          </w:tcPr>
          <w:p w14:paraId="1B80D4A3" w14:textId="77777777" w:rsidR="004B513E" w:rsidRPr="005F1574" w:rsidRDefault="49F1502B" w:rsidP="49F1502B">
            <w:pPr>
              <w:rPr>
                <w:color w:val="1F4E79"/>
                <w:lang w:val="sk-SK"/>
              </w:rPr>
            </w:pPr>
            <w:r w:rsidRPr="49F1502B">
              <w:rPr>
                <w:color w:val="1F4E79"/>
                <w:lang w:val="sk-SK"/>
              </w:rPr>
              <w:t>Oblasť</w:t>
            </w:r>
          </w:p>
        </w:tc>
        <w:tc>
          <w:tcPr>
            <w:tcW w:w="612" w:type="pct"/>
            <w:shd w:val="clear" w:color="auto" w:fill="DEEAF6" w:themeFill="accent5" w:themeFillTint="33"/>
          </w:tcPr>
          <w:p w14:paraId="386A30AE" w14:textId="77777777" w:rsidR="004B513E" w:rsidRPr="005F1574" w:rsidRDefault="49F1502B" w:rsidP="49F1502B">
            <w:pPr>
              <w:rPr>
                <w:color w:val="1F4E79"/>
                <w:lang w:val="sk-SK"/>
              </w:rPr>
            </w:pPr>
            <w:r w:rsidRPr="49F1502B">
              <w:rPr>
                <w:color w:val="1F4E79"/>
                <w:lang w:val="sk-SK"/>
              </w:rPr>
              <w:t>Miera záväznosti</w:t>
            </w:r>
          </w:p>
        </w:tc>
        <w:tc>
          <w:tcPr>
            <w:tcW w:w="3348" w:type="pct"/>
            <w:shd w:val="clear" w:color="auto" w:fill="DEEAF6" w:themeFill="accent5" w:themeFillTint="33"/>
          </w:tcPr>
          <w:p w14:paraId="5CDA5747" w14:textId="1D032310" w:rsidR="004B513E" w:rsidRPr="005F1574" w:rsidRDefault="49F1502B" w:rsidP="49F1502B">
            <w:pPr>
              <w:rPr>
                <w:color w:val="1F4E79"/>
                <w:lang w:val="sk-SK"/>
              </w:rPr>
            </w:pPr>
            <w:r w:rsidRPr="49F1502B">
              <w:rPr>
                <w:color w:val="1F4E79"/>
                <w:lang w:val="sk-SK"/>
              </w:rPr>
              <w:t>Kontrolované kritérium</w:t>
            </w:r>
          </w:p>
        </w:tc>
        <w:tc>
          <w:tcPr>
            <w:tcW w:w="599" w:type="pct"/>
            <w:shd w:val="clear" w:color="auto" w:fill="DEEAF6" w:themeFill="accent5" w:themeFillTint="33"/>
          </w:tcPr>
          <w:p w14:paraId="4725DFC9" w14:textId="61F39FED" w:rsidR="004B513E" w:rsidRPr="06A90D0C" w:rsidRDefault="49F1502B" w:rsidP="49F1502B">
            <w:pPr>
              <w:rPr>
                <w:color w:val="1F4E79"/>
                <w:lang w:val="sk-SK"/>
              </w:rPr>
            </w:pPr>
            <w:r w:rsidRPr="49F1502B">
              <w:rPr>
                <w:color w:val="1F4E79"/>
                <w:lang w:val="sk-SK"/>
              </w:rPr>
              <w:t>Áno</w:t>
            </w:r>
            <w:r w:rsidRPr="49F1502B">
              <w:rPr>
                <w:color w:val="1F4E79"/>
              </w:rPr>
              <w:t>/Nie</w:t>
            </w:r>
          </w:p>
        </w:tc>
      </w:tr>
      <w:tr w:rsidR="00B2680C" w14:paraId="74F0661D" w14:textId="3E82A5EE" w:rsidTr="49F1502B">
        <w:tc>
          <w:tcPr>
            <w:tcW w:w="441" w:type="pct"/>
            <w:vMerge w:val="restart"/>
          </w:tcPr>
          <w:p w14:paraId="767F5B7F" w14:textId="63DBC82F" w:rsidR="00B2680C" w:rsidRDefault="49F1502B" w:rsidP="49F1502B">
            <w:pPr>
              <w:rPr>
                <w:lang w:val="sk-SK"/>
              </w:rPr>
            </w:pPr>
            <w:r w:rsidRPr="49F1502B">
              <w:rPr>
                <w:lang w:val="sk-SK"/>
              </w:rPr>
              <w:t>Fungovanie manažmentu údajov po skončení projektu</w:t>
            </w:r>
          </w:p>
        </w:tc>
        <w:tc>
          <w:tcPr>
            <w:tcW w:w="612" w:type="pct"/>
          </w:tcPr>
          <w:p w14:paraId="0EE6153F" w14:textId="491B1610" w:rsidR="00B2680C" w:rsidRPr="001B0C66" w:rsidRDefault="49F1502B" w:rsidP="49F1502B">
            <w:pPr>
              <w:rPr>
                <w:lang w:val="sk-SK"/>
              </w:rPr>
            </w:pPr>
            <w:r w:rsidRPr="49F1502B">
              <w:rPr>
                <w:lang w:val="sk-SK"/>
              </w:rPr>
              <w:t>Povinné</w:t>
            </w:r>
          </w:p>
        </w:tc>
        <w:tc>
          <w:tcPr>
            <w:tcW w:w="3348" w:type="pct"/>
          </w:tcPr>
          <w:p w14:paraId="2BC9B9FA" w14:textId="75988953" w:rsidR="00B2680C" w:rsidRDefault="49F1502B" w:rsidP="49F1502B">
            <w:pPr>
              <w:rPr>
                <w:lang w:val="sk-SK"/>
              </w:rPr>
            </w:pPr>
            <w:r w:rsidRPr="49F1502B">
              <w:rPr>
                <w:lang w:val="sk-SK"/>
              </w:rPr>
              <w:t>Manažment životného cyklu údajov je jasne definovaný ako súčasť fungovanie organizácie v čase prevádzky.</w:t>
            </w:r>
          </w:p>
        </w:tc>
        <w:tc>
          <w:tcPr>
            <w:tcW w:w="599" w:type="pct"/>
          </w:tcPr>
          <w:p w14:paraId="3524785F" w14:textId="77777777" w:rsidR="00B2680C" w:rsidRPr="54CE20B3" w:rsidRDefault="00B2680C" w:rsidP="54CE20B3">
            <w:pPr>
              <w:rPr>
                <w:lang w:val="sk-SK"/>
              </w:rPr>
            </w:pPr>
          </w:p>
        </w:tc>
      </w:tr>
      <w:tr w:rsidR="00B2680C" w:rsidRPr="001B0C66" w14:paraId="47DCA837" w14:textId="2D37866B" w:rsidTr="49F1502B">
        <w:tc>
          <w:tcPr>
            <w:tcW w:w="441" w:type="pct"/>
            <w:vMerge/>
          </w:tcPr>
          <w:p w14:paraId="458A4C83" w14:textId="727315DA" w:rsidR="00B2680C" w:rsidRPr="001B0C66" w:rsidRDefault="00B2680C" w:rsidP="00B2680C">
            <w:pPr>
              <w:rPr>
                <w:lang w:val="sk-SK"/>
              </w:rPr>
            </w:pPr>
          </w:p>
        </w:tc>
        <w:tc>
          <w:tcPr>
            <w:tcW w:w="612" w:type="pct"/>
          </w:tcPr>
          <w:p w14:paraId="65A61FAB" w14:textId="4AA90B17" w:rsidR="00B2680C" w:rsidRPr="001B0C66" w:rsidRDefault="49F1502B" w:rsidP="49F1502B">
            <w:pPr>
              <w:rPr>
                <w:lang w:val="sk-SK"/>
              </w:rPr>
            </w:pPr>
            <w:r w:rsidRPr="49F1502B">
              <w:rPr>
                <w:lang w:val="sk-SK"/>
              </w:rPr>
              <w:t>Povinné</w:t>
            </w:r>
          </w:p>
        </w:tc>
        <w:tc>
          <w:tcPr>
            <w:tcW w:w="3348" w:type="pct"/>
          </w:tcPr>
          <w:p w14:paraId="3119DA68" w14:textId="521B41C1" w:rsidR="00B2680C" w:rsidRPr="001B0C66" w:rsidRDefault="49F1502B" w:rsidP="49F1502B">
            <w:pPr>
              <w:rPr>
                <w:lang w:val="sk-SK"/>
              </w:rPr>
            </w:pPr>
            <w:r w:rsidRPr="49F1502B">
              <w:rPr>
                <w:lang w:val="sk-SK"/>
              </w:rPr>
              <w:t>Uviesť, ako bude po skončení projektu v organizácii fungovať systematický manažment údajov a kvality údajov v súlade so strategickou prioritou Manažment údajov.</w:t>
            </w:r>
          </w:p>
        </w:tc>
        <w:tc>
          <w:tcPr>
            <w:tcW w:w="599" w:type="pct"/>
          </w:tcPr>
          <w:p w14:paraId="462C8BB1" w14:textId="77777777" w:rsidR="00B2680C" w:rsidRPr="001B0C66" w:rsidRDefault="00B2680C" w:rsidP="00B2680C">
            <w:pPr>
              <w:rPr>
                <w:lang w:val="sk-SK"/>
              </w:rPr>
            </w:pPr>
          </w:p>
        </w:tc>
      </w:tr>
    </w:tbl>
    <w:p w14:paraId="26AB531B" w14:textId="47F6E3CE" w:rsidR="00696F14" w:rsidRDefault="00696F14" w:rsidP="00696F14">
      <w:pPr>
        <w:rPr>
          <w:lang w:val="sk-SK"/>
        </w:rPr>
      </w:pPr>
    </w:p>
    <w:p w14:paraId="03ED899A" w14:textId="77777777" w:rsidR="00DA46DE" w:rsidRDefault="00DA46DE" w:rsidP="00696F14">
      <w:pPr>
        <w:rPr>
          <w:lang w:val="sk-SK"/>
        </w:rPr>
      </w:pPr>
    </w:p>
    <w:p w14:paraId="226C18C2" w14:textId="0A5EBFE3" w:rsidR="00696F14" w:rsidRDefault="00696F14" w:rsidP="00696F14">
      <w:pPr>
        <w:rPr>
          <w:lang w:val="sk-SK"/>
        </w:rPr>
      </w:pPr>
    </w:p>
    <w:p w14:paraId="4001E5CD" w14:textId="2CEDAEF5" w:rsidR="00696F14" w:rsidRDefault="49F1502B" w:rsidP="49F1502B">
      <w:pPr>
        <w:pStyle w:val="Nadpis2"/>
        <w:rPr>
          <w:lang w:val="sk-SK"/>
        </w:rPr>
      </w:pPr>
      <w:r w:rsidRPr="49F1502B">
        <w:rPr>
          <w:lang w:val="sk-SK"/>
        </w:rPr>
        <w:t>Informácie o hodnotení</w:t>
      </w:r>
    </w:p>
    <w:p w14:paraId="197F941D" w14:textId="19714086" w:rsidR="00696F14" w:rsidRDefault="49F1502B" w:rsidP="49F1502B">
      <w:pPr>
        <w:rPr>
          <w:lang w:val="sk-SK"/>
        </w:rPr>
      </w:pPr>
      <w:r w:rsidRPr="49F1502B">
        <w:rPr>
          <w:lang w:val="sk-SK"/>
        </w:rPr>
        <w:t>Spracoval:</w:t>
      </w:r>
    </w:p>
    <w:p w14:paraId="4E61E524" w14:textId="77777777" w:rsidR="00696F14" w:rsidRDefault="49F1502B" w:rsidP="49F1502B">
      <w:pPr>
        <w:rPr>
          <w:lang w:val="sk-SK"/>
        </w:rPr>
      </w:pPr>
      <w:r w:rsidRPr="49F1502B">
        <w:rPr>
          <w:lang w:val="sk-SK"/>
        </w:rPr>
        <w:t>Dátum:</w:t>
      </w:r>
    </w:p>
    <w:p w14:paraId="1CA0704B" w14:textId="77777777" w:rsidR="00696F14" w:rsidRPr="001B0C66" w:rsidRDefault="49F1502B" w:rsidP="49F1502B">
      <w:pPr>
        <w:rPr>
          <w:lang w:val="sk-SK"/>
        </w:rPr>
      </w:pPr>
      <w:r w:rsidRPr="49F1502B">
        <w:rPr>
          <w:lang w:val="sk-SK"/>
        </w:rPr>
        <w:t>Podpis</w:t>
      </w:r>
    </w:p>
    <w:p w14:paraId="397D1624" w14:textId="77777777" w:rsidR="00005ED1" w:rsidRPr="001B0C66" w:rsidRDefault="00005ED1" w:rsidP="006709CD">
      <w:pPr>
        <w:rPr>
          <w:lang w:val="sk-SK"/>
        </w:rPr>
      </w:pPr>
    </w:p>
    <w:sectPr w:rsidR="00005ED1" w:rsidRPr="001B0C6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57DC9" w14:textId="77777777" w:rsidR="003346CB" w:rsidRDefault="003346CB" w:rsidP="005F1574">
      <w:pPr>
        <w:spacing w:after="0" w:line="240" w:lineRule="auto"/>
      </w:pPr>
      <w:r>
        <w:separator/>
      </w:r>
    </w:p>
  </w:endnote>
  <w:endnote w:type="continuationSeparator" w:id="0">
    <w:p w14:paraId="55706E39" w14:textId="77777777" w:rsidR="003346CB" w:rsidRDefault="003346CB" w:rsidP="005F1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BF67E" w14:textId="4C417CA3" w:rsidR="003346CB" w:rsidRPr="00ED2840" w:rsidRDefault="003346CB" w:rsidP="00CC78D4">
    <w:pPr>
      <w:pStyle w:val="Pta"/>
      <w:jc w:val="left"/>
    </w:pPr>
    <w:r w:rsidRPr="005F1574">
      <w:rPr>
        <w:lang w:val="sk-SK"/>
      </w:rPr>
      <w:t>Checklist</w:t>
    </w:r>
    <w:r w:rsidRPr="06A90D0C">
      <w:rPr>
        <w:lang w:val="sk-SK"/>
      </w:rPr>
      <w:t xml:space="preserve"> pre strategickú prioritu Manažment údajov</w:t>
    </w:r>
    <w:r>
      <w:rPr>
        <w:lang w:val="sk-SK"/>
      </w:rPr>
      <w:tab/>
    </w:r>
    <w:r>
      <w:tab/>
    </w:r>
    <w:r>
      <w:rPr>
        <w:noProof/>
      </w:rPr>
      <w:fldChar w:fldCharType="begin"/>
    </w:r>
    <w:r>
      <w:instrText xml:space="preserve"> PAGE   \* MERGEFORMAT </w:instrText>
    </w:r>
    <w:r>
      <w:fldChar w:fldCharType="separate"/>
    </w:r>
    <w:r w:rsidR="00721984">
      <w:rPr>
        <w:noProof/>
      </w:rPr>
      <w:t>1</w:t>
    </w:r>
    <w:r>
      <w:rPr>
        <w:noProof/>
      </w:rPr>
      <w:fldChar w:fldCharType="end"/>
    </w:r>
    <w:r w:rsidRPr="0C4B27AE">
      <w:t>/</w:t>
    </w:r>
    <w:fldSimple w:instr=" NUMPAGES   \* MERGEFORMAT ">
      <w:r w:rsidR="00721984">
        <w:rPr>
          <w:noProof/>
        </w:rPr>
        <w:t>6</w:t>
      </w:r>
    </w:fldSimple>
  </w:p>
  <w:p w14:paraId="27F2C4EF" w14:textId="51DE767C" w:rsidR="003346CB" w:rsidRPr="005F1574" w:rsidRDefault="003346CB">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D354B" w14:textId="77777777" w:rsidR="003346CB" w:rsidRDefault="003346CB" w:rsidP="005F1574">
      <w:pPr>
        <w:spacing w:after="0" w:line="240" w:lineRule="auto"/>
      </w:pPr>
      <w:r>
        <w:separator/>
      </w:r>
    </w:p>
  </w:footnote>
  <w:footnote w:type="continuationSeparator" w:id="0">
    <w:p w14:paraId="5436F857" w14:textId="77777777" w:rsidR="003346CB" w:rsidRDefault="003346CB" w:rsidP="005F1574">
      <w:pPr>
        <w:spacing w:after="0" w:line="240" w:lineRule="auto"/>
      </w:pPr>
      <w:r>
        <w:continuationSeparator/>
      </w:r>
    </w:p>
  </w:footnote>
  <w:footnote w:id="1">
    <w:p w14:paraId="24F0554D" w14:textId="767C739E" w:rsidR="003346CB" w:rsidRPr="005B152C" w:rsidRDefault="003346CB" w:rsidP="00B05BA4">
      <w:pPr>
        <w:pStyle w:val="Textpoznmkypodiarou"/>
        <w:tabs>
          <w:tab w:val="left" w:pos="2790"/>
        </w:tabs>
        <w:rPr>
          <w:lang w:val="sk-SK"/>
        </w:rPr>
      </w:pPr>
      <w:r>
        <w:rPr>
          <w:rStyle w:val="Odkaznapoznmkupodiarou"/>
        </w:rPr>
        <w:footnoteRef/>
      </w:r>
      <w:r>
        <w:t xml:space="preserve"> </w:t>
      </w:r>
      <w:hyperlink r:id="rId1" w:history="1">
        <w:r w:rsidRPr="00E3701B">
          <w:rPr>
            <w:rStyle w:val="Hypertextovprepojenie"/>
          </w:rPr>
          <w:t>https://metais.finance.gov.sk/help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F2AEA" w14:textId="05D81D07" w:rsidR="003346CB" w:rsidRDefault="003346CB">
    <w:pPr>
      <w:pStyle w:val="Hlavika"/>
    </w:pPr>
    <w:r w:rsidRPr="00E47FA3">
      <w:rPr>
        <w:noProof/>
      </w:rPr>
      <w:drawing>
        <wp:anchor distT="0" distB="0" distL="114300" distR="114300" simplePos="0" relativeHeight="251659264" behindDoc="0" locked="0" layoutInCell="1" allowOverlap="1" wp14:anchorId="4EDE571B" wp14:editId="39F4AFE4">
          <wp:simplePos x="0" y="0"/>
          <wp:positionH relativeFrom="column">
            <wp:posOffset>-708660</wp:posOffset>
          </wp:positionH>
          <wp:positionV relativeFrom="paragraph">
            <wp:posOffset>-342900</wp:posOffset>
          </wp:positionV>
          <wp:extent cx="2190750" cy="705485"/>
          <wp:effectExtent l="0" t="0" r="0" b="0"/>
          <wp:wrapSquare wrapText="bothSides"/>
          <wp:docPr id="1026"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vicepremier.gov.sk/wp-content/uploads/2016/05/UPVSR-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705485"/>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2793B"/>
    <w:multiLevelType w:val="hybridMultilevel"/>
    <w:tmpl w:val="B824AA68"/>
    <w:lvl w:ilvl="0" w:tplc="1D802D0E">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B0594"/>
    <w:multiLevelType w:val="hybridMultilevel"/>
    <w:tmpl w:val="0520EF30"/>
    <w:lvl w:ilvl="0" w:tplc="47982920">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56953"/>
    <w:multiLevelType w:val="hybridMultilevel"/>
    <w:tmpl w:val="C6E0F18C"/>
    <w:lvl w:ilvl="0" w:tplc="42D20426">
      <w:start w:val="1"/>
      <w:numFmt w:val="bullet"/>
      <w:lvlText w:val=""/>
      <w:lvlJc w:val="left"/>
      <w:pPr>
        <w:ind w:left="720" w:hanging="360"/>
      </w:pPr>
      <w:rPr>
        <w:rFonts w:ascii="Symbol" w:hAnsi="Symbol" w:hint="default"/>
      </w:rPr>
    </w:lvl>
    <w:lvl w:ilvl="1" w:tplc="8D905DFE">
      <w:start w:val="1"/>
      <w:numFmt w:val="bullet"/>
      <w:lvlText w:val="o"/>
      <w:lvlJc w:val="left"/>
      <w:pPr>
        <w:ind w:left="1440" w:hanging="360"/>
      </w:pPr>
      <w:rPr>
        <w:rFonts w:ascii="Courier New" w:hAnsi="Courier New" w:hint="default"/>
      </w:rPr>
    </w:lvl>
    <w:lvl w:ilvl="2" w:tplc="711CA092">
      <w:start w:val="1"/>
      <w:numFmt w:val="bullet"/>
      <w:lvlText w:val=""/>
      <w:lvlJc w:val="left"/>
      <w:pPr>
        <w:ind w:left="2160" w:hanging="360"/>
      </w:pPr>
      <w:rPr>
        <w:rFonts w:ascii="Wingdings" w:hAnsi="Wingdings" w:hint="default"/>
      </w:rPr>
    </w:lvl>
    <w:lvl w:ilvl="3" w:tplc="7F0EA45C">
      <w:start w:val="1"/>
      <w:numFmt w:val="bullet"/>
      <w:lvlText w:val=""/>
      <w:lvlJc w:val="left"/>
      <w:pPr>
        <w:ind w:left="2880" w:hanging="360"/>
      </w:pPr>
      <w:rPr>
        <w:rFonts w:ascii="Symbol" w:hAnsi="Symbol" w:hint="default"/>
      </w:rPr>
    </w:lvl>
    <w:lvl w:ilvl="4" w:tplc="DC30C778">
      <w:start w:val="1"/>
      <w:numFmt w:val="bullet"/>
      <w:lvlText w:val="o"/>
      <w:lvlJc w:val="left"/>
      <w:pPr>
        <w:ind w:left="3600" w:hanging="360"/>
      </w:pPr>
      <w:rPr>
        <w:rFonts w:ascii="Courier New" w:hAnsi="Courier New" w:hint="default"/>
      </w:rPr>
    </w:lvl>
    <w:lvl w:ilvl="5" w:tplc="F17CD054">
      <w:start w:val="1"/>
      <w:numFmt w:val="bullet"/>
      <w:lvlText w:val=""/>
      <w:lvlJc w:val="left"/>
      <w:pPr>
        <w:ind w:left="4320" w:hanging="360"/>
      </w:pPr>
      <w:rPr>
        <w:rFonts w:ascii="Wingdings" w:hAnsi="Wingdings" w:hint="default"/>
      </w:rPr>
    </w:lvl>
    <w:lvl w:ilvl="6" w:tplc="D018B766">
      <w:start w:val="1"/>
      <w:numFmt w:val="bullet"/>
      <w:lvlText w:val=""/>
      <w:lvlJc w:val="left"/>
      <w:pPr>
        <w:ind w:left="5040" w:hanging="360"/>
      </w:pPr>
      <w:rPr>
        <w:rFonts w:ascii="Symbol" w:hAnsi="Symbol" w:hint="default"/>
      </w:rPr>
    </w:lvl>
    <w:lvl w:ilvl="7" w:tplc="7B4C9542">
      <w:start w:val="1"/>
      <w:numFmt w:val="bullet"/>
      <w:lvlText w:val="o"/>
      <w:lvlJc w:val="left"/>
      <w:pPr>
        <w:ind w:left="5760" w:hanging="360"/>
      </w:pPr>
      <w:rPr>
        <w:rFonts w:ascii="Courier New" w:hAnsi="Courier New" w:hint="default"/>
      </w:rPr>
    </w:lvl>
    <w:lvl w:ilvl="8" w:tplc="830E3802">
      <w:start w:val="1"/>
      <w:numFmt w:val="bullet"/>
      <w:lvlText w:val=""/>
      <w:lvlJc w:val="left"/>
      <w:pPr>
        <w:ind w:left="6480" w:hanging="360"/>
      </w:pPr>
      <w:rPr>
        <w:rFonts w:ascii="Wingdings" w:hAnsi="Wingdings" w:hint="default"/>
      </w:rPr>
    </w:lvl>
  </w:abstractNum>
  <w:abstractNum w:abstractNumId="3" w15:restartNumberingAfterBreak="0">
    <w:nsid w:val="51C37EBD"/>
    <w:multiLevelType w:val="hybridMultilevel"/>
    <w:tmpl w:val="E26AB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E814852"/>
    <w:multiLevelType w:val="hybridMultilevel"/>
    <w:tmpl w:val="7B781DA4"/>
    <w:lvl w:ilvl="0" w:tplc="D4708C8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F650CBB"/>
    <w:multiLevelType w:val="hybridMultilevel"/>
    <w:tmpl w:val="DEA4B684"/>
    <w:lvl w:ilvl="0" w:tplc="B7B4272A">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9CD"/>
    <w:rsid w:val="00005ED1"/>
    <w:rsid w:val="000876BA"/>
    <w:rsid w:val="00135253"/>
    <w:rsid w:val="00160E8A"/>
    <w:rsid w:val="001A4E96"/>
    <w:rsid w:val="001B0C66"/>
    <w:rsid w:val="001D1755"/>
    <w:rsid w:val="00295FE7"/>
    <w:rsid w:val="002A5D5F"/>
    <w:rsid w:val="002D66F7"/>
    <w:rsid w:val="003346CB"/>
    <w:rsid w:val="003633F8"/>
    <w:rsid w:val="00382B0B"/>
    <w:rsid w:val="00461F72"/>
    <w:rsid w:val="004B513E"/>
    <w:rsid w:val="004B5BD6"/>
    <w:rsid w:val="00546436"/>
    <w:rsid w:val="00550ACD"/>
    <w:rsid w:val="0059473D"/>
    <w:rsid w:val="005D1D2A"/>
    <w:rsid w:val="005F1574"/>
    <w:rsid w:val="005F1F79"/>
    <w:rsid w:val="0065086C"/>
    <w:rsid w:val="006709CD"/>
    <w:rsid w:val="00696F14"/>
    <w:rsid w:val="00721984"/>
    <w:rsid w:val="00724078"/>
    <w:rsid w:val="00762625"/>
    <w:rsid w:val="00824812"/>
    <w:rsid w:val="008976B2"/>
    <w:rsid w:val="00943A80"/>
    <w:rsid w:val="00964C0A"/>
    <w:rsid w:val="00A11DBB"/>
    <w:rsid w:val="00A227C1"/>
    <w:rsid w:val="00A32CF9"/>
    <w:rsid w:val="00A56035"/>
    <w:rsid w:val="00AA1B26"/>
    <w:rsid w:val="00AC22C3"/>
    <w:rsid w:val="00B05BA4"/>
    <w:rsid w:val="00B2680C"/>
    <w:rsid w:val="00C31E52"/>
    <w:rsid w:val="00CC78D4"/>
    <w:rsid w:val="00D11D70"/>
    <w:rsid w:val="00D661CF"/>
    <w:rsid w:val="00DA02A0"/>
    <w:rsid w:val="00DA46DE"/>
    <w:rsid w:val="00DC5163"/>
    <w:rsid w:val="00E3701B"/>
    <w:rsid w:val="00EB2B3E"/>
    <w:rsid w:val="00EF2262"/>
    <w:rsid w:val="00F8035C"/>
    <w:rsid w:val="00FE5963"/>
    <w:rsid w:val="02C14962"/>
    <w:rsid w:val="06A90D0C"/>
    <w:rsid w:val="0C4B27AE"/>
    <w:rsid w:val="486C952F"/>
    <w:rsid w:val="49F1502B"/>
    <w:rsid w:val="54CE20B3"/>
    <w:rsid w:val="5B7DB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B490A0"/>
  <w15:chartTrackingRefBased/>
  <w15:docId w15:val="{8632F842-4E5A-43EE-976D-74763AAA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y">
    <w:name w:val="Normal"/>
    <w:qFormat/>
    <w:rsid w:val="00A11DBB"/>
    <w:pPr>
      <w:jc w:val="both"/>
    </w:pPr>
    <w:rPr>
      <w:rFonts w:ascii="Times New Roman" w:hAnsi="Times New Roman"/>
    </w:rPr>
  </w:style>
  <w:style w:type="paragraph" w:styleId="Nadpis1">
    <w:name w:val="heading 1"/>
    <w:basedOn w:val="Normlny"/>
    <w:next w:val="Normlny"/>
    <w:link w:val="Nadpis1Char"/>
    <w:uiPriority w:val="9"/>
    <w:qFormat/>
    <w:rsid w:val="00C31E52"/>
    <w:pPr>
      <w:keepNext/>
      <w:keepLines/>
      <w:spacing w:before="120" w:after="240"/>
      <w:outlineLvl w:val="0"/>
    </w:pPr>
    <w:rPr>
      <w:rFonts w:ascii="Open Sans" w:eastAsiaTheme="majorEastAsia" w:hAnsi="Open Sans"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C31E52"/>
    <w:pPr>
      <w:keepNext/>
      <w:keepLines/>
      <w:spacing w:before="360" w:after="0"/>
      <w:outlineLvl w:val="1"/>
    </w:pPr>
    <w:rPr>
      <w:rFonts w:ascii="Open Sans" w:eastAsiaTheme="majorEastAsia" w:hAnsi="Open Sans"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A11DBB"/>
    <w:pPr>
      <w:keepNext/>
      <w:keepLines/>
      <w:spacing w:before="160" w:after="40"/>
      <w:outlineLvl w:val="2"/>
    </w:pPr>
    <w:rPr>
      <w:rFonts w:ascii="Open Sans" w:eastAsiaTheme="majorEastAsia" w:hAnsi="Open Sans" w:cstheme="majorBidi"/>
      <w:color w:val="1F3763" w:themeColor="accent1" w:themeShade="7F"/>
      <w:sz w:val="20"/>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31E52"/>
    <w:rPr>
      <w:rFonts w:ascii="Open Sans" w:eastAsiaTheme="majorEastAsia" w:hAnsi="Open Sans" w:cstheme="majorBidi"/>
      <w:color w:val="2F5496" w:themeColor="accent1" w:themeShade="BF"/>
      <w:sz w:val="32"/>
      <w:szCs w:val="32"/>
    </w:rPr>
  </w:style>
  <w:style w:type="character" w:customStyle="1" w:styleId="Nadpis2Char">
    <w:name w:val="Nadpis 2 Char"/>
    <w:basedOn w:val="Predvolenpsmoodseku"/>
    <w:link w:val="Nadpis2"/>
    <w:uiPriority w:val="9"/>
    <w:rsid w:val="00C31E52"/>
    <w:rPr>
      <w:rFonts w:ascii="Open Sans" w:eastAsiaTheme="majorEastAsia" w:hAnsi="Open Sans" w:cstheme="majorBidi"/>
      <w:color w:val="2F5496" w:themeColor="accent1" w:themeShade="BF"/>
      <w:sz w:val="26"/>
      <w:szCs w:val="26"/>
    </w:rPr>
  </w:style>
  <w:style w:type="table" w:styleId="Mriekatabuky">
    <w:name w:val="Table Grid"/>
    <w:basedOn w:val="Normlnatabuka"/>
    <w:uiPriority w:val="39"/>
    <w:rsid w:val="0000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5D1D2A"/>
    <w:pPr>
      <w:ind w:left="720"/>
      <w:contextualSpacing/>
    </w:pPr>
  </w:style>
  <w:style w:type="character" w:customStyle="1" w:styleId="Nadpis3Char">
    <w:name w:val="Nadpis 3 Char"/>
    <w:basedOn w:val="Predvolenpsmoodseku"/>
    <w:link w:val="Nadpis3"/>
    <w:uiPriority w:val="9"/>
    <w:rsid w:val="00A11DBB"/>
    <w:rPr>
      <w:rFonts w:ascii="Open Sans" w:eastAsiaTheme="majorEastAsia" w:hAnsi="Open Sans" w:cstheme="majorBidi"/>
      <w:color w:val="1F3763" w:themeColor="accent1" w:themeShade="7F"/>
      <w:sz w:val="20"/>
      <w:szCs w:val="24"/>
    </w:rPr>
  </w:style>
  <w:style w:type="paragraph" w:styleId="Popis">
    <w:name w:val="caption"/>
    <w:basedOn w:val="Normlny"/>
    <w:next w:val="Normlny"/>
    <w:uiPriority w:val="35"/>
    <w:unhideWhenUsed/>
    <w:qFormat/>
    <w:rsid w:val="001B0C66"/>
    <w:pPr>
      <w:spacing w:after="200" w:line="240" w:lineRule="auto"/>
    </w:pPr>
    <w:rPr>
      <w:i/>
      <w:iCs/>
      <w:color w:val="44546A" w:themeColor="text2"/>
      <w:sz w:val="18"/>
      <w:szCs w:val="18"/>
    </w:rPr>
  </w:style>
  <w:style w:type="paragraph" w:styleId="Hlavika">
    <w:name w:val="header"/>
    <w:basedOn w:val="Normlny"/>
    <w:link w:val="HlavikaChar"/>
    <w:uiPriority w:val="99"/>
    <w:unhideWhenUsed/>
    <w:rsid w:val="005F1574"/>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5F1574"/>
    <w:rPr>
      <w:rFonts w:ascii="Times New Roman" w:hAnsi="Times New Roman"/>
    </w:rPr>
  </w:style>
  <w:style w:type="paragraph" w:styleId="Pta">
    <w:name w:val="footer"/>
    <w:basedOn w:val="Normlny"/>
    <w:link w:val="PtaChar"/>
    <w:uiPriority w:val="99"/>
    <w:unhideWhenUsed/>
    <w:rsid w:val="005F1574"/>
    <w:pPr>
      <w:tabs>
        <w:tab w:val="center" w:pos="4680"/>
        <w:tab w:val="right" w:pos="9360"/>
      </w:tabs>
      <w:spacing w:after="0" w:line="240" w:lineRule="auto"/>
    </w:pPr>
  </w:style>
  <w:style w:type="character" w:customStyle="1" w:styleId="PtaChar">
    <w:name w:val="Päta Char"/>
    <w:basedOn w:val="Predvolenpsmoodseku"/>
    <w:link w:val="Pta"/>
    <w:uiPriority w:val="99"/>
    <w:rsid w:val="005F1574"/>
    <w:rPr>
      <w:rFonts w:ascii="Times New Roman" w:hAnsi="Times New Roman"/>
    </w:rPr>
  </w:style>
  <w:style w:type="paragraph" w:styleId="Textkomentra">
    <w:name w:val="annotation text"/>
    <w:basedOn w:val="Normlny"/>
    <w:link w:val="TextkomentraChar"/>
    <w:uiPriority w:val="99"/>
    <w:semiHidden/>
    <w:unhideWhenUsed/>
    <w:pPr>
      <w:spacing w:line="240" w:lineRule="auto"/>
    </w:pPr>
    <w:rPr>
      <w:sz w:val="20"/>
      <w:szCs w:val="20"/>
    </w:rPr>
  </w:style>
  <w:style w:type="character" w:customStyle="1" w:styleId="TextkomentraChar">
    <w:name w:val="Text komentára Char"/>
    <w:basedOn w:val="Predvolenpsmoodseku"/>
    <w:link w:val="Textkomentra"/>
    <w:uiPriority w:val="99"/>
    <w:semiHidden/>
    <w:rPr>
      <w:rFonts w:ascii="Times New Roman" w:hAnsi="Times New Roman"/>
      <w:sz w:val="20"/>
      <w:szCs w:val="2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4B513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13E"/>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4B513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B513E"/>
    <w:rPr>
      <w:rFonts w:ascii="Times New Roman" w:hAnsi="Times New Roman"/>
      <w:sz w:val="20"/>
      <w:szCs w:val="20"/>
    </w:rPr>
  </w:style>
  <w:style w:type="character" w:styleId="Odkaznapoznmkupodiarou">
    <w:name w:val="footnote reference"/>
    <w:basedOn w:val="Predvolenpsmoodseku"/>
    <w:uiPriority w:val="99"/>
    <w:semiHidden/>
    <w:unhideWhenUsed/>
    <w:rsid w:val="004B513E"/>
    <w:rPr>
      <w:vertAlign w:val="superscript"/>
    </w:rPr>
  </w:style>
  <w:style w:type="paragraph" w:customStyle="1" w:styleId="Bullet">
    <w:name w:val="Bullet"/>
    <w:basedOn w:val="Odsekzoznamu"/>
    <w:link w:val="BulletChar"/>
    <w:qFormat/>
    <w:rsid w:val="003346CB"/>
    <w:pPr>
      <w:numPr>
        <w:numId w:val="6"/>
      </w:numPr>
      <w:spacing w:before="40" w:after="80" w:line="240" w:lineRule="auto"/>
      <w:contextualSpacing w:val="0"/>
    </w:pPr>
    <w:rPr>
      <w:rFonts w:eastAsia="MS Mincho" w:cs="Times New Roman"/>
      <w:lang w:val="sk-SK"/>
    </w:rPr>
  </w:style>
  <w:style w:type="character" w:customStyle="1" w:styleId="BulletChar">
    <w:name w:val="Bullet Char"/>
    <w:basedOn w:val="Predvolenpsmoodseku"/>
    <w:link w:val="Bullet"/>
    <w:rsid w:val="003346CB"/>
    <w:rPr>
      <w:rFonts w:ascii="Times New Roman" w:eastAsia="MS Mincho" w:hAnsi="Times New Roman" w:cs="Times New Roman"/>
      <w:lang w:val="sk-SK"/>
    </w:rPr>
  </w:style>
  <w:style w:type="character" w:styleId="Hypertextovprepojenie">
    <w:name w:val="Hyperlink"/>
    <w:basedOn w:val="Predvolenpsmoodseku"/>
    <w:uiPriority w:val="99"/>
    <w:unhideWhenUsed/>
    <w:rsid w:val="00E3701B"/>
    <w:rPr>
      <w:color w:val="0563C1" w:themeColor="hyperlink"/>
      <w:u w:val="single"/>
    </w:rPr>
  </w:style>
  <w:style w:type="character" w:styleId="Zmienka">
    <w:name w:val="Mention"/>
    <w:basedOn w:val="Predvolenpsmoodseku"/>
    <w:uiPriority w:val="99"/>
    <w:semiHidden/>
    <w:unhideWhenUsed/>
    <w:rsid w:val="00E3701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metais.finance.gov.sk/hel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CTYWSUCD3UHA-699772915-62</_dlc_DocId>
    <_dlc_DocIdUrl xmlns="af457a4c-de28-4d38-bda9-e56a61b168cd">
      <Url>https://sp1.prod.metais.local/lepsie-data/_layouts/15/DocIdRedir.aspx?ID=CTYWSUCD3UHA-699772915-62</Url>
      <Description>CTYWSUCD3UHA-699772915-62</Description>
    </_dlc_DocIdUrl>
  </documentManagement>
</p:properties>
</file>

<file path=customXml/itemProps1.xml><?xml version="1.0" encoding="utf-8"?>
<ds:datastoreItem xmlns:ds="http://schemas.openxmlformats.org/officeDocument/2006/customXml" ds:itemID="{47645199-77E4-456C-94DC-448692C39832}"/>
</file>

<file path=customXml/itemProps2.xml><?xml version="1.0" encoding="utf-8"?>
<ds:datastoreItem xmlns:ds="http://schemas.openxmlformats.org/officeDocument/2006/customXml" ds:itemID="{A2E11A3B-CE74-4CC5-B030-48E34BDF0AA8}"/>
</file>

<file path=customXml/itemProps3.xml><?xml version="1.0" encoding="utf-8"?>
<ds:datastoreItem xmlns:ds="http://schemas.openxmlformats.org/officeDocument/2006/customXml" ds:itemID="{8748C3AF-F383-4191-BA3E-DBFE1D4E5A2A}"/>
</file>

<file path=customXml/itemProps4.xml><?xml version="1.0" encoding="utf-8"?>
<ds:datastoreItem xmlns:ds="http://schemas.openxmlformats.org/officeDocument/2006/customXml" ds:itemID="{1D77DBCD-462A-41E1-B3F6-49284F940E8F}"/>
</file>

<file path=customXml/itemProps5.xml><?xml version="1.0" encoding="utf-8"?>
<ds:datastoreItem xmlns:ds="http://schemas.openxmlformats.org/officeDocument/2006/customXml" ds:itemID="{EF394D0D-157D-4091-B9A8-2F9ECBA70EEC}"/>
</file>

<file path=docProps/app.xml><?xml version="1.0" encoding="utf-8"?>
<Properties xmlns="http://schemas.openxmlformats.org/officeDocument/2006/extended-properties" xmlns:vt="http://schemas.openxmlformats.org/officeDocument/2006/docPropsVTypes">
  <Template>Normal</Template>
  <TotalTime>1</TotalTime>
  <Pages>6</Pages>
  <Words>1862</Words>
  <Characters>10616</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Juraj Bardy</dc:creator>
  <cp:keywords/>
  <dc:description/>
  <cp:lastModifiedBy>Juraj Bardy</cp:lastModifiedBy>
  <cp:revision>3</cp:revision>
  <dcterms:created xsi:type="dcterms:W3CDTF">2017-05-25T13:28:00Z</dcterms:created>
  <dcterms:modified xsi:type="dcterms:W3CDTF">2017-05-25T13:29:00Z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8a3858e1-b734-4a62-8d04-e9ffb35cee90</vt:lpwstr>
  </property>
</Properties>
</file>