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75DA8" w14:textId="77777777" w:rsidR="009C36E2" w:rsidRPr="009C36E2" w:rsidRDefault="009C36E2" w:rsidP="009C36E2">
      <w:pPr>
        <w:rPr>
          <w:b/>
        </w:rPr>
      </w:pPr>
      <w:r w:rsidRPr="009C36E2">
        <w:rPr>
          <w:b/>
        </w:rPr>
        <w:t>Príloha č. 7</w:t>
      </w:r>
    </w:p>
    <w:p w14:paraId="27B10153" w14:textId="77777777" w:rsidR="009C36E2" w:rsidRPr="009C36E2" w:rsidRDefault="009C36E2" w:rsidP="009C36E2">
      <w:pPr>
        <w:pStyle w:val="Nadpis1"/>
        <w:rPr>
          <w:b w:val="0"/>
        </w:rPr>
      </w:pPr>
      <w:r w:rsidRPr="009C36E2">
        <w:rPr>
          <w:b w:val="0"/>
        </w:rPr>
        <w:t>Prípravné trhové konzultácie a predbežné zapojenie záujemcov alebo uchádzačov</w:t>
      </w:r>
    </w:p>
    <w:p w14:paraId="4C8C9A67" w14:textId="77777777" w:rsidR="009C36E2" w:rsidRDefault="009C36E2" w:rsidP="009C36E2">
      <w:pPr>
        <w:jc w:val="both"/>
      </w:pPr>
      <w:r>
        <w:t xml:space="preserve"> </w:t>
      </w:r>
    </w:p>
    <w:p w14:paraId="490C45AC" w14:textId="77777777" w:rsidR="009C36E2" w:rsidRDefault="009C36E2" w:rsidP="009C36E2">
      <w:pPr>
        <w:jc w:val="both"/>
      </w:pPr>
      <w:r>
        <w:t>V súčasnosti verejná správa spravidla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prípravných trhových konzultácií je umožnenie konzultovať častokrát zložité, najmä technické otázky súvisiace s konkrétnym verejným 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14:paraId="76D9B2AB" w14:textId="77777777" w:rsidR="009C36E2" w:rsidRDefault="009C36E2" w:rsidP="009C36E2">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14:paraId="18A84C80" w14:textId="77777777" w:rsidR="009C36E2" w:rsidRDefault="009C36E2" w:rsidP="009C36E2">
      <w:pPr>
        <w:jc w:val="both"/>
      </w:pPr>
      <w:r>
        <w:t>Nakoľko oblasť verejného obstarávania je regulovaná základnými princípmi verejného obstarávania</w:t>
      </w:r>
      <w:r>
        <w:rPr>
          <w:rStyle w:val="Odkaznapoznmkupodiarou"/>
        </w:rPr>
        <w:footnoteReference w:id="1"/>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14:paraId="0B8B8014" w14:textId="77777777" w:rsidR="009C36E2" w:rsidRDefault="009C36E2" w:rsidP="009C36E2">
      <w:pPr>
        <w:jc w:val="both"/>
      </w:pPr>
      <w:r>
        <w:t xml:space="preserve">Samozrejme právo na ochranu obchodného tajomstva a citlivých informácií môže byť jednotlivým hospodárskym subjektom garantované, avšak takto odovzdané informácie nesmú narušiť hospodársku súťaž. </w:t>
      </w:r>
    </w:p>
    <w:p w14:paraId="01BD2DE0" w14:textId="77777777" w:rsidR="009C36E2" w:rsidRDefault="009C36E2" w:rsidP="009C36E2">
      <w:pPr>
        <w:jc w:val="both"/>
      </w:pPr>
      <w:r>
        <w:t xml:space="preserve">Prípravnou trhovou konzultáciou sa v podstate hľadá najmä odpoveď na otázku, čo môže na pokrytie potrieb verejného obstarávateľa poskytnúť trh? </w:t>
      </w:r>
    </w:p>
    <w:p w14:paraId="51959D1A" w14:textId="77777777" w:rsidR="009C36E2" w:rsidRDefault="009C36E2" w:rsidP="009C36E2">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14:paraId="73B8C729" w14:textId="77777777" w:rsidR="009C36E2" w:rsidRDefault="009C36E2" w:rsidP="009C36E2">
      <w:pPr>
        <w:jc w:val="both"/>
      </w:pPr>
      <w:r>
        <w:t xml:space="preserve">Cieľom trhovej konzultácie preto nie je nastavenie podmienok verejného 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interoperabilitu prípadného riešenia s cieľom predísť stavu lock-in pro futuro.  </w:t>
      </w:r>
    </w:p>
    <w:p w14:paraId="12BD6323" w14:textId="77777777" w:rsidR="009C36E2" w:rsidRDefault="009C36E2" w:rsidP="009C36E2">
      <w:pPr>
        <w:jc w:val="both"/>
      </w:pPr>
      <w:r>
        <w:t xml:space="preserve">Prípravná trhová konzultácia sa môže viesť aj za účasti asociácií združujúcich účastníkov trhu, nie je však možné zabudnúť na </w:t>
      </w:r>
      <w:r w:rsidR="008C4FC8">
        <w:t>prípadnú</w:t>
      </w:r>
      <w:r>
        <w:t xml:space="preserve"> účasť malých a stredných podnikateľov, ktorí predstavujú hnaciu silu inovácií v EÚ.</w:t>
      </w:r>
    </w:p>
    <w:p w14:paraId="0690F748" w14:textId="77777777" w:rsidR="009C36E2" w:rsidRDefault="009C36E2" w:rsidP="009C36E2">
      <w:pPr>
        <w:jc w:val="both"/>
      </w:pPr>
      <w:r>
        <w:lastRenderedPageBreak/>
        <w:t xml:space="preserve">V prípade, že by určitý subjekt zúčastňujúci sa prípravných trhových konzultácií získal v následnom verejnom obstarávaní nenáležitú výhodu, je potrebné zo strany verejného obstarávateľa postupovať podľa § 40 ods. 7 zákona o VO (t. j. vylúčiť hospodársky subjekt z verejného obstarávania z dôvodu získania nenáležitej výhody účasťou na prípravných trhových konzultáciách). </w:t>
      </w:r>
    </w:p>
    <w:p w14:paraId="026B362A" w14:textId="77777777" w:rsidR="009C36E2" w:rsidRDefault="009C36E2" w:rsidP="009C36E2">
      <w:pPr>
        <w:jc w:val="both"/>
      </w:pPr>
      <w:r>
        <w:t>V tomto zmysle je žiaduce, aby verejný obstarávateľ upozornil v pravidlách vedenia prípravných trhových konzultácií ich účastníkov na následky narušenia hospodárskej súťaže, ktoré sú spojené so sankciou vylúčenia.</w:t>
      </w:r>
    </w:p>
    <w:p w14:paraId="660994CA" w14:textId="77777777" w:rsidR="009C36E2" w:rsidRDefault="009C36E2" w:rsidP="009C36E2">
      <w:pPr>
        <w:jc w:val="both"/>
      </w:pPr>
      <w:r>
        <w:t>Po technickej stránke je možné vedenie prípravných trhových konzultácií oznámiť prostredníctvom predbežného oznámenia zverejneného na Európskej ako aj národnej úrovni (Úradný vestník EÚ, resp. Vestník VO), prostredníctvom profilu verejného obstarávateľa/obstarávateľa alebo prostredníctvom webového sídla. V niektorých členských štátoch EÚ verejné subjekty prípravné trhové konzultácie realizujú prostredníctvom špeciálnej sekcie svojho webového sídla označenej napr. „Doing business with us“ a pod.</w:t>
      </w:r>
    </w:p>
    <w:p w14:paraId="189DF7AF" w14:textId="77777777" w:rsidR="009C36E2" w:rsidRDefault="009C36E2" w:rsidP="009C36E2">
      <w:pPr>
        <w:jc w:val="both"/>
        <w:rPr>
          <w:b/>
        </w:rPr>
      </w:pPr>
      <w:r>
        <w:rPr>
          <w:b/>
        </w:rPr>
        <w:t>Príklady zo softvérového alebo hardvérového sveta:</w:t>
      </w:r>
    </w:p>
    <w:p w14:paraId="7F33A713" w14:textId="77777777" w:rsidR="009C36E2" w:rsidRDefault="009C36E2" w:rsidP="009C36E2">
      <w:pPr>
        <w:jc w:val="both"/>
      </w:pPr>
      <w:r>
        <w:t>Verejný obstarávateľ použije prípravnú trhovú konzultáciu s cieľom predstaviť hospodárskym subjektom svoje súčasné softvérové vybavenie (stav implementácie, prepojenia s inými informačnými systémami verejnej správy) s cieľom nájsť také riešenie, aby sa nové dielo integrovalo zo starým softvérom.</w:t>
      </w:r>
    </w:p>
    <w:p w14:paraId="7B9D6E13" w14:textId="77777777" w:rsidR="009C36E2" w:rsidRDefault="009C36E2" w:rsidP="009C36E2">
      <w:pPr>
        <w:jc w:val="both"/>
      </w:pPr>
      <w:r>
        <w:t xml:space="preserve">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  </w:t>
      </w:r>
    </w:p>
    <w:p w14:paraId="6194B793" w14:textId="77777777" w:rsidR="009C36E2" w:rsidRPr="008E0FF2" w:rsidRDefault="009C36E2" w:rsidP="009C36E2">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14:paraId="2153792A" w14:textId="77777777" w:rsidR="009C36E2" w:rsidRDefault="009C36E2" w:rsidP="009C36E2">
      <w:pPr>
        <w:jc w:val="both"/>
      </w:pPr>
      <w:r>
        <w:rPr>
          <w:noProof/>
          <w:lang w:eastAsia="sk-SK"/>
        </w:rPr>
        <mc:AlternateContent>
          <mc:Choice Requires="wps">
            <w:drawing>
              <wp:anchor distT="45720" distB="45720" distL="114300" distR="114300" simplePos="0" relativeHeight="251659264" behindDoc="0" locked="0" layoutInCell="1" allowOverlap="1" wp14:anchorId="73402013" wp14:editId="7E1B64A5">
                <wp:simplePos x="0" y="0"/>
                <wp:positionH relativeFrom="margin">
                  <wp:posOffset>-4445</wp:posOffset>
                </wp:positionH>
                <wp:positionV relativeFrom="paragraph">
                  <wp:posOffset>1087120</wp:posOffset>
                </wp:positionV>
                <wp:extent cx="236093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14:paraId="294E1D91" w14:textId="77777777" w:rsidR="009C36E2" w:rsidRPr="00233B2D" w:rsidRDefault="009C36E2" w:rsidP="009C36E2">
                            <w:pPr>
                              <w:jc w:val="both"/>
                            </w:pPr>
                            <w:r w:rsidRPr="00233B2D">
                              <w:t>Príklad vhodnosti použitia prípravných trhových konzultácií:</w:t>
                            </w:r>
                          </w:p>
                          <w:p w14:paraId="34D0F9C6" w14:textId="77777777"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3402013" id="_x0000_t202" coordsize="21600,21600" o:spt="202" path="m,l,21600r21600,l21600,xe">
                <v:stroke joinstyle="miter"/>
                <v:path gradientshapeok="t" o:connecttype="rect"/>
              </v:shapetype>
              <v:shape id="Textové pole 2" o:spid="_x0000_s1026" type="#_x0000_t202" style="position:absolute;left:0;text-align:left;margin-left:-.35pt;margin-top:85.6pt;width:185.9pt;height:273.75pt;z-index:2516592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" fillcolor="#002060">
                <v:textbox>
                  <w:txbxContent>
                    <w:p w14:paraId="294E1D91" w14:textId="77777777" w:rsidR="009C36E2" w:rsidRPr="00233B2D" w:rsidRDefault="009C36E2" w:rsidP="009C36E2">
                      <w:pPr>
                        <w:jc w:val="both"/>
                      </w:pPr>
                      <w:r w:rsidRPr="00233B2D">
                        <w:t>Príklad vhodnosti použitia prípravných trhových konzultácií:</w:t>
                      </w:r>
                    </w:p>
                    <w:p w14:paraId="34D0F9C6" w14:textId="77777777"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mc:Fallback>
        </mc:AlternateContent>
      </w:r>
      <w:r w:rsidRPr="00823200">
        <w:t>Prípravné trhové konzultácie je možné realizovať vo všetkých postupoch verejného obstarávania.</w:t>
      </w:r>
      <w:r>
        <w:t xml:space="preserve"> </w:t>
      </w:r>
      <w:r w:rsidRPr="00823200">
        <w:t xml:space="preserve">Verejní obstarávatelia môžu pred začatím postupu obstarávania uskutočniť trhové konzultácie </w:t>
      </w:r>
      <w:r>
        <w:t xml:space="preserve">                    </w:t>
      </w:r>
      <w:r w:rsidRPr="00823200">
        <w:t xml:space="preserve">s cieľom pripraviť </w:t>
      </w:r>
      <w:r>
        <w:t xml:space="preserve">verejné </w:t>
      </w:r>
      <w:r w:rsidRPr="00823200">
        <w:t>obstarávanie a informovať hospodárske subjekty o svojich plánoch obstarávania a požiadavkách na obstarávanie.</w:t>
      </w:r>
      <w:r>
        <w:t xml:space="preserve"> </w:t>
      </w:r>
      <w:r w:rsidRPr="00823200">
        <w:t>Verejní obstarávatelia môžu na tieto účely napríklad žiadať o rady alebo prijať rady od nezávislých expertov alebo orgánov alebo od účastníkov trhu. Uvedené rady sa môžu použiť pri plánovaní</w:t>
      </w:r>
      <w:r>
        <w:t xml:space="preserve"> </w:t>
      </w:r>
      <w:r w:rsidRPr="00823200">
        <w:t xml:space="preserve">a vykonávaní postupu </w:t>
      </w:r>
      <w:r>
        <w:t xml:space="preserve">verejného </w:t>
      </w:r>
      <w:r w:rsidRPr="00823200">
        <w:t xml:space="preserve">obstarávania, a to za predpokladu, že takéto rady nenarušia hospodársku súťaž ani nepovedú </w:t>
      </w:r>
      <w:r>
        <w:t xml:space="preserve">                  </w:t>
      </w:r>
      <w:r w:rsidRPr="00823200">
        <w:t>k porušeniu zásad nediskriminácie a transparentnosti.</w:t>
      </w:r>
    </w:p>
    <w:p w14:paraId="1A5C1647" w14:textId="77777777" w:rsidR="009C36E2" w:rsidRDefault="009C36E2" w:rsidP="009C36E2">
      <w:pPr>
        <w:jc w:val="both"/>
      </w:pPr>
      <w:r>
        <w:t>Prípravné trhové konzultácie v oblasti nákupu IKT osobitne SW umožňujú verejným obstarávateľom zistiť:</w:t>
      </w:r>
      <w:bookmarkStart w:id="0" w:name="_GoBack"/>
      <w:bookmarkEnd w:id="0"/>
    </w:p>
    <w:p w14:paraId="59CF6959" w14:textId="77777777" w:rsidR="009C36E2" w:rsidRDefault="009C36E2" w:rsidP="009C36E2">
      <w:pPr>
        <w:pStyle w:val="Odsekzoznamu"/>
        <w:numPr>
          <w:ilvl w:val="0"/>
          <w:numId w:val="1"/>
        </w:numPr>
        <w:jc w:val="both"/>
      </w:pPr>
      <w:r>
        <w:t xml:space="preserve">aké sú možnosti uspokojenia ich potrieb, </w:t>
      </w:r>
    </w:p>
    <w:p w14:paraId="05096715" w14:textId="77777777" w:rsidR="009C36E2" w:rsidRDefault="009C36E2" w:rsidP="009C36E2">
      <w:pPr>
        <w:pStyle w:val="Odsekzoznamu"/>
        <w:numPr>
          <w:ilvl w:val="0"/>
          <w:numId w:val="1"/>
        </w:numPr>
        <w:jc w:val="both"/>
      </w:pPr>
      <w:r>
        <w:t xml:space="preserve">aké možnosti ponúka trh, </w:t>
      </w:r>
    </w:p>
    <w:p w14:paraId="54C44BBF" w14:textId="77777777" w:rsidR="009C36E2" w:rsidRDefault="009C36E2" w:rsidP="009C36E2">
      <w:pPr>
        <w:pStyle w:val="Odsekzoznamu"/>
        <w:numPr>
          <w:ilvl w:val="0"/>
          <w:numId w:val="1"/>
        </w:numPr>
        <w:jc w:val="both"/>
      </w:pPr>
      <w:r>
        <w:t xml:space="preserve">ako je možné podnietiť inovácie, </w:t>
      </w:r>
    </w:p>
    <w:p w14:paraId="099AC44B" w14:textId="77777777" w:rsidR="009C36E2" w:rsidRDefault="009C36E2" w:rsidP="009C36E2">
      <w:pPr>
        <w:pStyle w:val="Odsekzoznamu"/>
        <w:numPr>
          <w:ilvl w:val="0"/>
          <w:numId w:val="1"/>
        </w:numPr>
        <w:jc w:val="both"/>
      </w:pPr>
      <w:r>
        <w:t xml:space="preserve">ako opísať predmet zákazky takým spôsobom, aby nebol žiaden hospodársky subjekt zvýhodnený alebo naopak nezvýhodnený oproti ostatným účastníkom trhu, </w:t>
      </w:r>
    </w:p>
    <w:p w14:paraId="116925ED" w14:textId="77777777" w:rsidR="009C36E2" w:rsidRDefault="009C36E2" w:rsidP="009C36E2">
      <w:pPr>
        <w:pStyle w:val="Odsekzoznamu"/>
        <w:numPr>
          <w:ilvl w:val="0"/>
          <w:numId w:val="1"/>
        </w:numPr>
        <w:jc w:val="both"/>
      </w:pPr>
      <w:r>
        <w:t xml:space="preserve">aké požiadavky na predmet zákazky sú primerané, </w:t>
      </w:r>
    </w:p>
    <w:p w14:paraId="09E09CD0" w14:textId="77777777" w:rsidR="009C36E2" w:rsidRDefault="009C36E2" w:rsidP="009C36E2">
      <w:pPr>
        <w:pStyle w:val="Odsekzoznamu"/>
        <w:numPr>
          <w:ilvl w:val="0"/>
          <w:numId w:val="1"/>
        </w:numPr>
        <w:jc w:val="both"/>
      </w:pPr>
      <w:r>
        <w:lastRenderedPageBreak/>
        <w:t xml:space="preserve">aké podmienky účasti je vhodné stanoviť, </w:t>
      </w:r>
    </w:p>
    <w:p w14:paraId="08EC9562" w14:textId="77777777" w:rsidR="009C36E2" w:rsidRDefault="009C36E2" w:rsidP="009C36E2">
      <w:pPr>
        <w:pStyle w:val="Odsekzoznamu"/>
        <w:numPr>
          <w:ilvl w:val="0"/>
          <w:numId w:val="1"/>
        </w:numPr>
        <w:jc w:val="both"/>
      </w:pPr>
      <w:r>
        <w:t>aká je situácia na trhu IKT, osobitne softvéru a pod.</w:t>
      </w:r>
    </w:p>
    <w:p w14:paraId="772B7E74" w14:textId="77777777" w:rsidR="009C36E2" w:rsidRDefault="009C36E2" w:rsidP="009C36E2">
      <w:pPr>
        <w:jc w:val="both"/>
      </w:pPr>
      <w:r>
        <w:t>Realizáciu prípravných trhových konzultácií je vhodné oznámiť, čo možno najširšiemu okruhu subjektov prostredníctvom rôznych publikačných nástrojov (napr. webové sídlo verejného obstarávateľa, Úradný vestník</w:t>
      </w:r>
      <w:r w:rsidRPr="00017712">
        <w:t xml:space="preserve"> Európskej únie</w:t>
      </w:r>
      <w:r>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14:paraId="5A9F2EA3" w14:textId="6B0DB081" w:rsidR="009C36E2" w:rsidRDefault="009C36E2" w:rsidP="009C36E2">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r w:rsidR="00302388">
        <w:t xml:space="preserve"> Rozsah týchto informácií musí byť dostatočný na to, aby ostatní záujemcovia alebo uchádzači, ktorí neboli do prípravy postupu verejného obstarávania zapojení , vedeli posúdiť, či došlo, resp. mohlo dôjsť k narušeniu hospodárskej súťaže (je preto potrebné uviesť identitu subjektu, predmet a obsah rokovaní).</w:t>
      </w:r>
    </w:p>
    <w:p w14:paraId="27CCFEDB" w14:textId="77777777" w:rsidR="009C36E2" w:rsidRDefault="009C36E2" w:rsidP="009C36E2">
      <w:pPr>
        <w:spacing w:after="0" w:line="276" w:lineRule="auto"/>
        <w:contextualSpacing/>
        <w:jc w:val="both"/>
      </w:pPr>
      <w:r>
        <w:t>Pre účely úspešného uplatnenia inštitútu prípravných trhových konzultácií je potrebné zabezpečiť, aby prebiehali transparentne, overiteľným a preskúmateľným procesom.</w:t>
      </w:r>
      <w:r w:rsidRPr="00E07D6C">
        <w:t xml:space="preserve"> </w:t>
      </w:r>
      <w:r>
        <w:t>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workshopu s viacerými potenciálnymi uchádzačmi o zákazku (v záujme transparentnosti sa pri zákazkách vyššieho finančného objemu odporúča zabezpečiť live streaming z predmetného workshopu).</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p>
    <w:p w14:paraId="7E59D0A7" w14:textId="77777777" w:rsidR="009C36E2" w:rsidRDefault="009C36E2" w:rsidP="009C36E2">
      <w:pPr>
        <w:spacing w:after="0" w:line="276" w:lineRule="auto"/>
        <w:contextualSpacing/>
        <w:jc w:val="both"/>
      </w:pPr>
    </w:p>
    <w:p w14:paraId="56A6803E" w14:textId="77777777" w:rsidR="009C36E2" w:rsidRDefault="009C36E2" w:rsidP="009C36E2">
      <w:pPr>
        <w:spacing w:after="0" w:line="276" w:lineRule="auto"/>
        <w:contextualSpacing/>
        <w:jc w:val="both"/>
      </w:pPr>
      <w:r>
        <w:t>Prípravné trhové konzultácie by sa mali venovať najmä týmto otázkam:</w:t>
      </w:r>
    </w:p>
    <w:p w14:paraId="4C92A1D1" w14:textId="77777777" w:rsidR="009C36E2" w:rsidRDefault="009C36E2" w:rsidP="009C36E2">
      <w:pPr>
        <w:spacing w:after="0" w:line="276" w:lineRule="auto"/>
        <w:contextualSpacing/>
        <w:jc w:val="both"/>
      </w:pPr>
      <w:r>
        <w:t>- zmenám v procesoch (čo sa obstaraním IT systému sleduje / reforma a jej ciele)</w:t>
      </w:r>
    </w:p>
    <w:p w14:paraId="305699DB" w14:textId="77777777" w:rsidR="009C36E2" w:rsidRDefault="009C36E2" w:rsidP="009C36E2">
      <w:pPr>
        <w:spacing w:after="0" w:line="276" w:lineRule="auto"/>
        <w:contextualSpacing/>
        <w:jc w:val="both"/>
      </w:pPr>
      <w:r>
        <w:t>- architektúre systému</w:t>
      </w:r>
    </w:p>
    <w:p w14:paraId="0559329D" w14:textId="77777777" w:rsidR="009C36E2" w:rsidRDefault="009C36E2" w:rsidP="009C36E2">
      <w:pPr>
        <w:spacing w:after="0" w:line="276" w:lineRule="auto"/>
        <w:contextualSpacing/>
        <w:jc w:val="both"/>
      </w:pPr>
      <w:r>
        <w:t>- použitým technológiám</w:t>
      </w:r>
    </w:p>
    <w:p w14:paraId="49F77286" w14:textId="77777777" w:rsidR="009C36E2" w:rsidRDefault="009C36E2" w:rsidP="009C36E2">
      <w:pPr>
        <w:spacing w:after="0" w:line="276" w:lineRule="auto"/>
        <w:contextualSpacing/>
        <w:jc w:val="both"/>
      </w:pPr>
      <w:r>
        <w:t>- nákupnej stratégii (akým smerom chce verejný obstarávateľ posunúť svoje vzťahy s dodávateľmi do budúcnosti).</w:t>
      </w:r>
    </w:p>
    <w:p w14:paraId="34F14F14" w14:textId="77777777" w:rsidR="009C36E2" w:rsidRDefault="009C36E2" w:rsidP="009C36E2">
      <w:pPr>
        <w:spacing w:after="0" w:line="276" w:lineRule="auto"/>
        <w:contextualSpacing/>
        <w:jc w:val="both"/>
      </w:pPr>
    </w:p>
    <w:p w14:paraId="28738849" w14:textId="77777777" w:rsidR="009C36E2" w:rsidRPr="00233B2D" w:rsidRDefault="009C36E2" w:rsidP="009C36E2">
      <w:pPr>
        <w:jc w:val="both"/>
      </w:pPr>
      <w:r>
        <w:lastRenderedPageBreak/>
        <w:t>Príkladom nastavenia prípravných trhových konzultácií môžu byť prípravné trhové konzultácie Úradu pre verejné obstarávanie</w:t>
      </w:r>
      <w:r>
        <w:rPr>
          <w:rStyle w:val="Odkaznapoznmkupodiarou"/>
        </w:rPr>
        <w:footnoteReference w:id="2"/>
      </w:r>
      <w:r>
        <w:t>.</w:t>
      </w:r>
    </w:p>
    <w:sectPr w:rsidR="009C36E2" w:rsidRPr="00233B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5288D" w14:textId="77777777" w:rsidR="00DD5C85" w:rsidRDefault="00DD5C85" w:rsidP="009C36E2">
      <w:pPr>
        <w:spacing w:after="0" w:line="240" w:lineRule="auto"/>
      </w:pPr>
      <w:r>
        <w:separator/>
      </w:r>
    </w:p>
  </w:endnote>
  <w:endnote w:type="continuationSeparator" w:id="0">
    <w:p w14:paraId="63253506" w14:textId="77777777" w:rsidR="00DD5C85" w:rsidRDefault="00DD5C85" w:rsidP="009C3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C714F" w14:textId="77777777" w:rsidR="00DD5C85" w:rsidRDefault="00DD5C85" w:rsidP="009C36E2">
      <w:pPr>
        <w:spacing w:after="0" w:line="240" w:lineRule="auto"/>
      </w:pPr>
      <w:r>
        <w:separator/>
      </w:r>
    </w:p>
  </w:footnote>
  <w:footnote w:type="continuationSeparator" w:id="0">
    <w:p w14:paraId="51B30BB9" w14:textId="77777777" w:rsidR="00DD5C85" w:rsidRDefault="00DD5C85" w:rsidP="009C36E2">
      <w:pPr>
        <w:spacing w:after="0" w:line="240" w:lineRule="auto"/>
      </w:pPr>
      <w:r>
        <w:continuationSeparator/>
      </w:r>
    </w:p>
  </w:footnote>
  <w:footnote w:id="1">
    <w:p w14:paraId="7CAC70CF" w14:textId="77777777" w:rsidR="009C36E2" w:rsidRDefault="009C36E2" w:rsidP="009C36E2">
      <w:pPr>
        <w:pStyle w:val="Textpoznmkypodiarou"/>
        <w:jc w:val="both"/>
      </w:pPr>
      <w:r>
        <w:rPr>
          <w:rStyle w:val="Odkaznapoznmkupodiarou"/>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2">
    <w:p w14:paraId="7E70B001" w14:textId="77777777" w:rsidR="009C36E2" w:rsidRDefault="009C36E2" w:rsidP="009C36E2">
      <w:pPr>
        <w:pStyle w:val="Textpoznmkypodiarou"/>
      </w:pPr>
      <w:r>
        <w:rPr>
          <w:rStyle w:val="Odkaznapoznmkupodiarou"/>
        </w:rPr>
        <w:footnoteRef/>
      </w:r>
      <w:r>
        <w:t xml:space="preserve"> </w:t>
      </w:r>
      <w:hyperlink r:id="rId1" w:history="1">
        <w:r w:rsidRPr="00DE0D59">
          <w:rPr>
            <w:rStyle w:val="Hypertextovprepojenie"/>
          </w:rPr>
          <w:t>https://www.uvo.gov.sk/informacny-servis/financie/verejne-obstaravanie/ostatne-dokumenty-350.html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7E9"/>
    <w:rsid w:val="0000632F"/>
    <w:rsid w:val="00031F5F"/>
    <w:rsid w:val="00063F69"/>
    <w:rsid w:val="00070DC3"/>
    <w:rsid w:val="0007116C"/>
    <w:rsid w:val="00080D47"/>
    <w:rsid w:val="000B44DA"/>
    <w:rsid w:val="000E3181"/>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53CD"/>
    <w:rsid w:val="001F2481"/>
    <w:rsid w:val="001F7176"/>
    <w:rsid w:val="00210F3A"/>
    <w:rsid w:val="00220133"/>
    <w:rsid w:val="00223D63"/>
    <w:rsid w:val="002257D0"/>
    <w:rsid w:val="00227A45"/>
    <w:rsid w:val="00264827"/>
    <w:rsid w:val="00275330"/>
    <w:rsid w:val="002968AB"/>
    <w:rsid w:val="002A47BD"/>
    <w:rsid w:val="002C7604"/>
    <w:rsid w:val="002E0104"/>
    <w:rsid w:val="00302388"/>
    <w:rsid w:val="00326AFE"/>
    <w:rsid w:val="00333933"/>
    <w:rsid w:val="00362254"/>
    <w:rsid w:val="003715CE"/>
    <w:rsid w:val="003E107E"/>
    <w:rsid w:val="00400390"/>
    <w:rsid w:val="00404D5A"/>
    <w:rsid w:val="00406313"/>
    <w:rsid w:val="0043136D"/>
    <w:rsid w:val="00431384"/>
    <w:rsid w:val="004439CF"/>
    <w:rsid w:val="004674D6"/>
    <w:rsid w:val="00476E3B"/>
    <w:rsid w:val="00496675"/>
    <w:rsid w:val="004B6476"/>
    <w:rsid w:val="004E0D79"/>
    <w:rsid w:val="004E31F7"/>
    <w:rsid w:val="00514A37"/>
    <w:rsid w:val="00545489"/>
    <w:rsid w:val="00560CAF"/>
    <w:rsid w:val="005650C6"/>
    <w:rsid w:val="005655BF"/>
    <w:rsid w:val="00576335"/>
    <w:rsid w:val="005B6467"/>
    <w:rsid w:val="005E6488"/>
    <w:rsid w:val="005F5A6C"/>
    <w:rsid w:val="00620D24"/>
    <w:rsid w:val="006243DA"/>
    <w:rsid w:val="00636165"/>
    <w:rsid w:val="006366AC"/>
    <w:rsid w:val="00642595"/>
    <w:rsid w:val="00660AC7"/>
    <w:rsid w:val="00675D01"/>
    <w:rsid w:val="00680DAD"/>
    <w:rsid w:val="006B0D11"/>
    <w:rsid w:val="006B6214"/>
    <w:rsid w:val="006D28F5"/>
    <w:rsid w:val="006E217F"/>
    <w:rsid w:val="006E4DD2"/>
    <w:rsid w:val="00707E73"/>
    <w:rsid w:val="00732FE2"/>
    <w:rsid w:val="00740DD2"/>
    <w:rsid w:val="00742AAE"/>
    <w:rsid w:val="0076486A"/>
    <w:rsid w:val="00785900"/>
    <w:rsid w:val="0078646E"/>
    <w:rsid w:val="007958CC"/>
    <w:rsid w:val="007A475A"/>
    <w:rsid w:val="007B741C"/>
    <w:rsid w:val="007E090C"/>
    <w:rsid w:val="007E5E60"/>
    <w:rsid w:val="007F3D5F"/>
    <w:rsid w:val="007F510E"/>
    <w:rsid w:val="00812232"/>
    <w:rsid w:val="008322E5"/>
    <w:rsid w:val="00854775"/>
    <w:rsid w:val="00861E35"/>
    <w:rsid w:val="00863C28"/>
    <w:rsid w:val="00885542"/>
    <w:rsid w:val="00887DB3"/>
    <w:rsid w:val="00894605"/>
    <w:rsid w:val="0089552F"/>
    <w:rsid w:val="008A03A9"/>
    <w:rsid w:val="008A7910"/>
    <w:rsid w:val="008C4FC8"/>
    <w:rsid w:val="008C5214"/>
    <w:rsid w:val="008D1E11"/>
    <w:rsid w:val="008D2186"/>
    <w:rsid w:val="008D7357"/>
    <w:rsid w:val="00902220"/>
    <w:rsid w:val="0090625C"/>
    <w:rsid w:val="009163E4"/>
    <w:rsid w:val="00920B35"/>
    <w:rsid w:val="009248BA"/>
    <w:rsid w:val="009312EF"/>
    <w:rsid w:val="00941B81"/>
    <w:rsid w:val="0097683A"/>
    <w:rsid w:val="00983556"/>
    <w:rsid w:val="009B5657"/>
    <w:rsid w:val="009C1161"/>
    <w:rsid w:val="009C36E2"/>
    <w:rsid w:val="009D7C49"/>
    <w:rsid w:val="009E544B"/>
    <w:rsid w:val="00A04612"/>
    <w:rsid w:val="00A13ED7"/>
    <w:rsid w:val="00A15658"/>
    <w:rsid w:val="00A20FA5"/>
    <w:rsid w:val="00A51736"/>
    <w:rsid w:val="00A662C6"/>
    <w:rsid w:val="00AB03CD"/>
    <w:rsid w:val="00AB532F"/>
    <w:rsid w:val="00AD3B8A"/>
    <w:rsid w:val="00AD67E9"/>
    <w:rsid w:val="00B112DA"/>
    <w:rsid w:val="00B163CD"/>
    <w:rsid w:val="00B53588"/>
    <w:rsid w:val="00B53CA8"/>
    <w:rsid w:val="00B64B37"/>
    <w:rsid w:val="00B832D9"/>
    <w:rsid w:val="00B902A8"/>
    <w:rsid w:val="00BA696F"/>
    <w:rsid w:val="00BC2CC1"/>
    <w:rsid w:val="00BD745A"/>
    <w:rsid w:val="00BE3D8D"/>
    <w:rsid w:val="00C01BB7"/>
    <w:rsid w:val="00C10936"/>
    <w:rsid w:val="00C2298A"/>
    <w:rsid w:val="00C312BA"/>
    <w:rsid w:val="00C33BFA"/>
    <w:rsid w:val="00C4140B"/>
    <w:rsid w:val="00C44C7E"/>
    <w:rsid w:val="00C45DEE"/>
    <w:rsid w:val="00C6439E"/>
    <w:rsid w:val="00C70C6A"/>
    <w:rsid w:val="00C91461"/>
    <w:rsid w:val="00CA358F"/>
    <w:rsid w:val="00CE0FFC"/>
    <w:rsid w:val="00CE76F9"/>
    <w:rsid w:val="00CF1F0D"/>
    <w:rsid w:val="00CF2C5D"/>
    <w:rsid w:val="00D15CC5"/>
    <w:rsid w:val="00D4161C"/>
    <w:rsid w:val="00D76559"/>
    <w:rsid w:val="00D771C7"/>
    <w:rsid w:val="00D84D57"/>
    <w:rsid w:val="00D93841"/>
    <w:rsid w:val="00D9741D"/>
    <w:rsid w:val="00DD5C85"/>
    <w:rsid w:val="00DF7B67"/>
    <w:rsid w:val="00E01F32"/>
    <w:rsid w:val="00E0563B"/>
    <w:rsid w:val="00E27C46"/>
    <w:rsid w:val="00E3208C"/>
    <w:rsid w:val="00E46B91"/>
    <w:rsid w:val="00E51C0C"/>
    <w:rsid w:val="00E54569"/>
    <w:rsid w:val="00E571B9"/>
    <w:rsid w:val="00E61A2F"/>
    <w:rsid w:val="00EA2535"/>
    <w:rsid w:val="00EA2F94"/>
    <w:rsid w:val="00EA4085"/>
    <w:rsid w:val="00EB7C12"/>
    <w:rsid w:val="00EC52D8"/>
    <w:rsid w:val="00F30C5E"/>
    <w:rsid w:val="00F37AC8"/>
    <w:rsid w:val="00F46248"/>
    <w:rsid w:val="00F6438A"/>
    <w:rsid w:val="00F70DB1"/>
    <w:rsid w:val="00F85A35"/>
    <w:rsid w:val="00F8692C"/>
    <w:rsid w:val="00F9144C"/>
    <w:rsid w:val="00F933BF"/>
    <w:rsid w:val="00FA3DE3"/>
    <w:rsid w:val="00FC6571"/>
    <w:rsid w:val="00FD26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C3874"/>
  <w15:docId w15:val="{2A4202D7-1F01-452B-BD16-0EA951115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C36E2"/>
    <w:pPr>
      <w:spacing w:after="160" w:line="259" w:lineRule="auto"/>
    </w:pPr>
  </w:style>
  <w:style w:type="paragraph" w:styleId="Nadpis1">
    <w:name w:val="heading 1"/>
    <w:basedOn w:val="Normlny"/>
    <w:next w:val="Normlny"/>
    <w:link w:val="Nadpis1Char"/>
    <w:uiPriority w:val="9"/>
    <w:qFormat/>
    <w:rsid w:val="009C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9C36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C36E2"/>
    <w:rPr>
      <w:rFonts w:asciiTheme="majorHAnsi" w:eastAsiaTheme="majorEastAsia" w:hAnsiTheme="majorHAnsi" w:cstheme="majorBidi"/>
      <w:color w:val="365F91" w:themeColor="accent1" w:themeShade="BF"/>
      <w:sz w:val="26"/>
      <w:szCs w:val="26"/>
    </w:rPr>
  </w:style>
  <w:style w:type="paragraph" w:styleId="Odsekzoznamu">
    <w:name w:val="List Paragraph"/>
    <w:aliases w:val="List of Item Numbers"/>
    <w:basedOn w:val="Normlny"/>
    <w:link w:val="OdsekzoznamuChar"/>
    <w:uiPriority w:val="34"/>
    <w:qFormat/>
    <w:rsid w:val="009C36E2"/>
    <w:pPr>
      <w:ind w:left="720"/>
      <w:contextualSpacing/>
    </w:pPr>
  </w:style>
  <w:style w:type="character" w:styleId="Odkaznakomentr">
    <w:name w:val="annotation reference"/>
    <w:basedOn w:val="Predvolenpsmoodseku"/>
    <w:uiPriority w:val="99"/>
    <w:semiHidden/>
    <w:unhideWhenUsed/>
    <w:rsid w:val="009C36E2"/>
    <w:rPr>
      <w:sz w:val="16"/>
      <w:szCs w:val="16"/>
    </w:rPr>
  </w:style>
  <w:style w:type="paragraph" w:styleId="Textkomentra">
    <w:name w:val="annotation text"/>
    <w:basedOn w:val="Normlny"/>
    <w:link w:val="TextkomentraChar"/>
    <w:uiPriority w:val="99"/>
    <w:semiHidden/>
    <w:unhideWhenUsed/>
    <w:rsid w:val="009C36E2"/>
    <w:pPr>
      <w:spacing w:line="240" w:lineRule="auto"/>
    </w:pPr>
    <w:rPr>
      <w:sz w:val="20"/>
      <w:szCs w:val="20"/>
    </w:rPr>
  </w:style>
  <w:style w:type="character" w:customStyle="1" w:styleId="TextkomentraChar">
    <w:name w:val="Text komentára Char"/>
    <w:basedOn w:val="Predvolenpsmoodseku"/>
    <w:link w:val="Textkomentra"/>
    <w:uiPriority w:val="99"/>
    <w:semiHidden/>
    <w:rsid w:val="009C36E2"/>
    <w:rPr>
      <w:sz w:val="20"/>
      <w:szCs w:val="20"/>
    </w:rPr>
  </w:style>
  <w:style w:type="character" w:styleId="Hypertextovprepojenie">
    <w:name w:val="Hyperlink"/>
    <w:basedOn w:val="Predvolenpsmoodseku"/>
    <w:uiPriority w:val="99"/>
    <w:unhideWhenUsed/>
    <w:rsid w:val="009C36E2"/>
    <w:rPr>
      <w:color w:val="0000FF" w:themeColor="hyperlink"/>
      <w:u w:val="single"/>
    </w:rPr>
  </w:style>
  <w:style w:type="paragraph" w:styleId="Textpoznmkypodiarou">
    <w:name w:val="footnote text"/>
    <w:basedOn w:val="Normlny"/>
    <w:link w:val="TextpoznmkypodiarouChar"/>
    <w:uiPriority w:val="99"/>
    <w:unhideWhenUsed/>
    <w:rsid w:val="009C36E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9C36E2"/>
    <w:rPr>
      <w:sz w:val="20"/>
      <w:szCs w:val="20"/>
    </w:rPr>
  </w:style>
  <w:style w:type="character" w:styleId="Odkaznapoznmkupodiarou">
    <w:name w:val="footnote reference"/>
    <w:basedOn w:val="Predvolenpsmoodseku"/>
    <w:uiPriority w:val="99"/>
    <w:semiHidden/>
    <w:unhideWhenUsed/>
    <w:rsid w:val="009C36E2"/>
    <w:rPr>
      <w:vertAlign w:val="superscript"/>
    </w:rPr>
  </w:style>
  <w:style w:type="character" w:customStyle="1" w:styleId="OdsekzoznamuChar">
    <w:name w:val="Odsek zoznamu Char"/>
    <w:aliases w:val="List of Item Numbers Char"/>
    <w:basedOn w:val="Predvolenpsmoodseku"/>
    <w:link w:val="Odsekzoznamu"/>
    <w:uiPriority w:val="34"/>
    <w:rsid w:val="009C36E2"/>
  </w:style>
  <w:style w:type="paragraph" w:styleId="Textbubliny">
    <w:name w:val="Balloon Text"/>
    <w:basedOn w:val="Normlny"/>
    <w:link w:val="TextbublinyChar"/>
    <w:uiPriority w:val="99"/>
    <w:semiHidden/>
    <w:unhideWhenUsed/>
    <w:rsid w:val="009C36E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C36E2"/>
    <w:rPr>
      <w:rFonts w:ascii="Tahoma" w:hAnsi="Tahoma" w:cs="Tahoma"/>
      <w:sz w:val="16"/>
      <w:szCs w:val="16"/>
    </w:rPr>
  </w:style>
  <w:style w:type="character" w:customStyle="1" w:styleId="Nadpis1Char">
    <w:name w:val="Nadpis 1 Char"/>
    <w:basedOn w:val="Predvolenpsmoodseku"/>
    <w:link w:val="Nadpis1"/>
    <w:uiPriority w:val="9"/>
    <w:rsid w:val="009C36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informacny-servis/financie/verejne-obstaravanie/ostatne-dokumenty-350.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CTYWSUCD3UHA-405917165-114</_dlc_DocId>
    <_dlc_DocIdUrl xmlns="af457a4c-de28-4d38-bda9-e56a61b168cd">
      <Url>https://sp1.prod.metais.local/verejne-obstaravanie-IKT/_layouts/15/DocIdRedir.aspx?ID=CTYWSUCD3UHA-405917165-114</Url>
      <Description>CTYWSUCD3UHA-405917165-114</Description>
    </_dlc_DocIdUrl>
  </documentManagement>
</p:properties>
</file>

<file path=customXml/itemProps1.xml><?xml version="1.0" encoding="utf-8"?>
<ds:datastoreItem xmlns:ds="http://schemas.openxmlformats.org/officeDocument/2006/customXml" ds:itemID="{B59B9C65-B41B-4CB0-A034-C15DD9CC78B6}"/>
</file>

<file path=customXml/itemProps2.xml><?xml version="1.0" encoding="utf-8"?>
<ds:datastoreItem xmlns:ds="http://schemas.openxmlformats.org/officeDocument/2006/customXml" ds:itemID="{C1F3AED2-4874-4863-B9E9-4EE4D73CC2CB}"/>
</file>

<file path=customXml/itemProps3.xml><?xml version="1.0" encoding="utf-8"?>
<ds:datastoreItem xmlns:ds="http://schemas.openxmlformats.org/officeDocument/2006/customXml" ds:itemID="{1B6C225F-F7A1-41B3-8DAD-B5869C81D117}"/>
</file>

<file path=customXml/itemProps4.xml><?xml version="1.0" encoding="utf-8"?>
<ds:datastoreItem xmlns:ds="http://schemas.openxmlformats.org/officeDocument/2006/customXml" ds:itemID="{6A5EED6E-D17D-4F7A-8B94-87C3B1267DBF}"/>
</file>

<file path=docProps/app.xml><?xml version="1.0" encoding="utf-8"?>
<Properties xmlns="http://schemas.openxmlformats.org/officeDocument/2006/extended-properties" xmlns:vt="http://schemas.openxmlformats.org/officeDocument/2006/docPropsVTypes">
  <Template>Normal</Template>
  <TotalTime>5</TotalTime>
  <Pages>4</Pages>
  <Words>1467</Words>
  <Characters>8368</Characters>
  <Application>Microsoft Office Word</Application>
  <DocSecurity>0</DocSecurity>
  <Lines>69</Lines>
  <Paragraphs>19</Paragraphs>
  <ScaleCrop>false</ScaleCrop>
  <Company>Hewlett-Packard Company</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Branislav Hudec</cp:lastModifiedBy>
  <cp:revision>5</cp:revision>
  <dcterms:created xsi:type="dcterms:W3CDTF">2017-09-27T17:16:00Z</dcterms:created>
  <dcterms:modified xsi:type="dcterms:W3CDTF">2017-10-01T21:55:00Z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c264957b-6a55-48a2-9d19-a80ca2549997</vt:lpwstr>
  </property>
</Properties>
</file>