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731F0A" w14:textId="6FCCEB33" w:rsidR="005543DE" w:rsidRPr="005912D6" w:rsidRDefault="00A4138B" w:rsidP="00A4138B">
      <w:pPr>
        <w:jc w:val="center"/>
        <w:rPr>
          <w:rFonts w:ascii="Arial" w:hAnsi="Arial" w:cs="Arial"/>
          <w:b/>
        </w:rPr>
      </w:pPr>
      <w:r w:rsidRPr="005912D6">
        <w:rPr>
          <w:rFonts w:ascii="Arial" w:hAnsi="Arial" w:cs="Arial"/>
          <w:b/>
        </w:rPr>
        <w:t>Záznam z rokovania pracovnej skupiny „verejné obstarávanie IKT“ uskutočnen</w:t>
      </w:r>
      <w:r w:rsidR="008563B2" w:rsidRPr="005912D6">
        <w:rPr>
          <w:rFonts w:ascii="Arial" w:hAnsi="Arial" w:cs="Arial"/>
          <w:b/>
        </w:rPr>
        <w:t>ého</w:t>
      </w:r>
      <w:r w:rsidR="008269FE">
        <w:rPr>
          <w:rFonts w:ascii="Arial" w:hAnsi="Arial" w:cs="Arial"/>
          <w:b/>
        </w:rPr>
        <w:t xml:space="preserve"> dňa (09.04. 2021</w:t>
      </w:r>
      <w:r w:rsidRPr="005912D6">
        <w:rPr>
          <w:rFonts w:ascii="Arial" w:hAnsi="Arial" w:cs="Arial"/>
          <w:b/>
        </w:rPr>
        <w:t>) o 10.</w:t>
      </w:r>
      <w:r w:rsidR="005912D6">
        <w:rPr>
          <w:rFonts w:ascii="Arial" w:hAnsi="Arial" w:cs="Arial"/>
          <w:b/>
        </w:rPr>
        <w:t>00</w:t>
      </w:r>
      <w:r w:rsidRPr="005912D6">
        <w:rPr>
          <w:rFonts w:ascii="Arial" w:hAnsi="Arial" w:cs="Arial"/>
          <w:b/>
        </w:rPr>
        <w:t xml:space="preserve"> hodine prostredníctvom použitia aplikácie MS Teams.</w:t>
      </w:r>
    </w:p>
    <w:p w14:paraId="7B7A93B4" w14:textId="77777777" w:rsidR="00A4138B" w:rsidRPr="005912D6" w:rsidRDefault="00A4138B" w:rsidP="00A4138B">
      <w:pPr>
        <w:jc w:val="center"/>
        <w:rPr>
          <w:rFonts w:ascii="Arial" w:hAnsi="Arial" w:cs="Arial"/>
          <w:b/>
        </w:rPr>
      </w:pPr>
    </w:p>
    <w:p w14:paraId="28814EC3" w14:textId="6FFC1982" w:rsidR="00A4138B" w:rsidRPr="005912D6" w:rsidRDefault="00A4138B" w:rsidP="001F02FE">
      <w:pPr>
        <w:pStyle w:val="Odsekzoznamu"/>
        <w:numPr>
          <w:ilvl w:val="0"/>
          <w:numId w:val="2"/>
        </w:numPr>
        <w:tabs>
          <w:tab w:val="left" w:pos="284"/>
        </w:tabs>
        <w:ind w:left="0" w:firstLine="0"/>
        <w:jc w:val="both"/>
        <w:rPr>
          <w:rFonts w:ascii="Arial" w:hAnsi="Arial" w:cs="Arial"/>
          <w:b/>
        </w:rPr>
      </w:pPr>
      <w:r w:rsidRPr="005912D6">
        <w:rPr>
          <w:rFonts w:ascii="Arial" w:hAnsi="Arial" w:cs="Arial"/>
        </w:rPr>
        <w:t xml:space="preserve">Predseda pracovnej skupiny „verejné obstarávanie IKT“ Kristian Hodossy privítal účastníkov rokovania pracovnej skupiny, pričom v prvom kroku overil prítomnosť členov pracovnej skupiny. Predseda pracovnej skupiny konštatoval vo vzťahu k prezencii účastníkov nasledovné: </w:t>
      </w:r>
    </w:p>
    <w:p w14:paraId="4EBB53AE" w14:textId="77777777" w:rsidR="001F02FE" w:rsidRPr="005912D6" w:rsidRDefault="001F02FE" w:rsidP="001F02FE">
      <w:pPr>
        <w:pStyle w:val="Odsekzoznamu"/>
        <w:tabs>
          <w:tab w:val="left" w:pos="284"/>
        </w:tabs>
        <w:ind w:left="0"/>
        <w:jc w:val="both"/>
        <w:rPr>
          <w:rFonts w:ascii="Arial" w:hAnsi="Arial" w:cs="Arial"/>
          <w:b/>
        </w:rPr>
      </w:pPr>
    </w:p>
    <w:p w14:paraId="2BAE0A1D" w14:textId="158B5025" w:rsidR="00A4138B" w:rsidRPr="00384160" w:rsidRDefault="00A4138B" w:rsidP="00384160">
      <w:pPr>
        <w:jc w:val="both"/>
        <w:rPr>
          <w:rFonts w:ascii="Arial" w:hAnsi="Arial" w:cs="Arial"/>
          <w:b/>
        </w:rPr>
      </w:pPr>
      <w:r w:rsidRPr="00384160">
        <w:rPr>
          <w:rFonts w:ascii="Arial" w:hAnsi="Arial" w:cs="Arial"/>
        </w:rPr>
        <w:t xml:space="preserve">Prítomní: </w:t>
      </w:r>
    </w:p>
    <w:tbl>
      <w:tblPr>
        <w:tblStyle w:val="Mriekatabuky"/>
        <w:tblW w:w="0" w:type="auto"/>
        <w:tblLook w:val="04A0" w:firstRow="1" w:lastRow="0" w:firstColumn="1" w:lastColumn="0" w:noHBand="0" w:noVBand="1"/>
      </w:tblPr>
      <w:tblGrid>
        <w:gridCol w:w="4531"/>
        <w:gridCol w:w="4530"/>
      </w:tblGrid>
      <w:tr w:rsidR="00A5511D" w:rsidRPr="005912D6" w14:paraId="56F0A55C" w14:textId="77777777" w:rsidTr="008269FE">
        <w:tc>
          <w:tcPr>
            <w:tcW w:w="4531" w:type="dxa"/>
          </w:tcPr>
          <w:p w14:paraId="4EC6B833" w14:textId="77777777" w:rsidR="00A5511D" w:rsidRPr="005912D6" w:rsidRDefault="00A5511D" w:rsidP="00A5511D">
            <w:pPr>
              <w:jc w:val="both"/>
              <w:rPr>
                <w:rFonts w:ascii="Arial" w:hAnsi="Arial" w:cs="Arial"/>
              </w:rPr>
            </w:pPr>
            <w:r w:rsidRPr="005912D6">
              <w:rPr>
                <w:rFonts w:ascii="Arial" w:hAnsi="Arial" w:cs="Arial"/>
              </w:rPr>
              <w:t>MIRRI</w:t>
            </w:r>
          </w:p>
        </w:tc>
        <w:tc>
          <w:tcPr>
            <w:tcW w:w="4530" w:type="dxa"/>
          </w:tcPr>
          <w:p w14:paraId="3895692D" w14:textId="15831939" w:rsidR="00A5511D" w:rsidRPr="005912D6" w:rsidRDefault="00433A6F" w:rsidP="00433A6F">
            <w:pPr>
              <w:jc w:val="both"/>
              <w:rPr>
                <w:rFonts w:ascii="Arial" w:hAnsi="Arial" w:cs="Arial"/>
              </w:rPr>
            </w:pPr>
            <w:r>
              <w:rPr>
                <w:rFonts w:ascii="Arial" w:hAnsi="Arial" w:cs="Arial"/>
              </w:rPr>
              <w:t>Hodossy</w:t>
            </w:r>
            <w:r w:rsidR="00A5511D" w:rsidRPr="005912D6">
              <w:rPr>
                <w:rFonts w:ascii="Arial" w:hAnsi="Arial" w:cs="Arial"/>
              </w:rPr>
              <w:t xml:space="preserve">, </w:t>
            </w:r>
            <w:r w:rsidR="00806E48">
              <w:rPr>
                <w:rFonts w:ascii="Arial" w:hAnsi="Arial" w:cs="Arial"/>
              </w:rPr>
              <w:t>Poloha</w:t>
            </w:r>
          </w:p>
        </w:tc>
      </w:tr>
      <w:tr w:rsidR="00A5511D" w:rsidRPr="005912D6" w14:paraId="3272CD0F" w14:textId="77777777" w:rsidTr="008269FE">
        <w:tc>
          <w:tcPr>
            <w:tcW w:w="4531" w:type="dxa"/>
          </w:tcPr>
          <w:p w14:paraId="6904953C" w14:textId="77777777" w:rsidR="00A5511D" w:rsidRPr="005912D6" w:rsidRDefault="00A5511D" w:rsidP="00A5511D">
            <w:pPr>
              <w:jc w:val="both"/>
              <w:rPr>
                <w:rFonts w:ascii="Arial" w:hAnsi="Arial" w:cs="Arial"/>
              </w:rPr>
            </w:pPr>
            <w:r w:rsidRPr="005912D6">
              <w:rPr>
                <w:rFonts w:ascii="Arial" w:hAnsi="Arial" w:cs="Arial"/>
              </w:rPr>
              <w:t>ÚVO</w:t>
            </w:r>
          </w:p>
        </w:tc>
        <w:tc>
          <w:tcPr>
            <w:tcW w:w="4530" w:type="dxa"/>
          </w:tcPr>
          <w:p w14:paraId="6FDDFE54" w14:textId="77777777" w:rsidR="00A5511D" w:rsidRPr="005912D6" w:rsidRDefault="00A5511D" w:rsidP="00A5511D">
            <w:pPr>
              <w:jc w:val="both"/>
              <w:rPr>
                <w:rFonts w:ascii="Arial" w:hAnsi="Arial" w:cs="Arial"/>
              </w:rPr>
            </w:pPr>
            <w:r w:rsidRPr="005912D6">
              <w:rPr>
                <w:rFonts w:ascii="Arial" w:hAnsi="Arial" w:cs="Arial"/>
              </w:rPr>
              <w:t xml:space="preserve">Kramár, Majchrák </w:t>
            </w:r>
          </w:p>
        </w:tc>
      </w:tr>
      <w:tr w:rsidR="00A5511D" w:rsidRPr="005912D6" w14:paraId="45C2A4BF" w14:textId="77777777" w:rsidTr="008269FE">
        <w:tc>
          <w:tcPr>
            <w:tcW w:w="4531" w:type="dxa"/>
          </w:tcPr>
          <w:p w14:paraId="79318BB1" w14:textId="77777777" w:rsidR="00A5511D" w:rsidRPr="005912D6" w:rsidRDefault="00A5511D" w:rsidP="00A5511D">
            <w:pPr>
              <w:jc w:val="both"/>
              <w:rPr>
                <w:rFonts w:ascii="Arial" w:hAnsi="Arial" w:cs="Arial"/>
              </w:rPr>
            </w:pPr>
            <w:r w:rsidRPr="005912D6">
              <w:rPr>
                <w:rFonts w:ascii="Arial" w:hAnsi="Arial" w:cs="Arial"/>
              </w:rPr>
              <w:t>MKSR</w:t>
            </w:r>
          </w:p>
        </w:tc>
        <w:tc>
          <w:tcPr>
            <w:tcW w:w="4530" w:type="dxa"/>
          </w:tcPr>
          <w:p w14:paraId="7CC8FDEF" w14:textId="77777777" w:rsidR="00A5511D" w:rsidRPr="005912D6" w:rsidRDefault="00A5511D" w:rsidP="00A5511D">
            <w:pPr>
              <w:jc w:val="both"/>
              <w:rPr>
                <w:rFonts w:ascii="Arial" w:hAnsi="Arial" w:cs="Arial"/>
              </w:rPr>
            </w:pPr>
            <w:r w:rsidRPr="005912D6">
              <w:rPr>
                <w:rFonts w:ascii="Arial" w:hAnsi="Arial" w:cs="Arial"/>
              </w:rPr>
              <w:t>Machel</w:t>
            </w:r>
          </w:p>
        </w:tc>
      </w:tr>
      <w:tr w:rsidR="00A5511D" w:rsidRPr="005912D6" w14:paraId="41B2C60B" w14:textId="77777777" w:rsidTr="008269FE">
        <w:tc>
          <w:tcPr>
            <w:tcW w:w="4531" w:type="dxa"/>
          </w:tcPr>
          <w:p w14:paraId="57371504" w14:textId="42DD6EAC" w:rsidR="00A5511D" w:rsidRPr="005912D6" w:rsidRDefault="00806E48" w:rsidP="00A5511D">
            <w:pPr>
              <w:jc w:val="both"/>
              <w:rPr>
                <w:rFonts w:ascii="Arial" w:hAnsi="Arial" w:cs="Arial"/>
              </w:rPr>
            </w:pPr>
            <w:r>
              <w:rPr>
                <w:rFonts w:ascii="Arial" w:hAnsi="Arial" w:cs="Arial"/>
              </w:rPr>
              <w:t xml:space="preserve">Únia miest </w:t>
            </w:r>
          </w:p>
        </w:tc>
        <w:tc>
          <w:tcPr>
            <w:tcW w:w="4530" w:type="dxa"/>
          </w:tcPr>
          <w:p w14:paraId="772E2E4A" w14:textId="5135446B" w:rsidR="00A5511D" w:rsidRPr="005912D6" w:rsidRDefault="00806E48" w:rsidP="00A5511D">
            <w:pPr>
              <w:jc w:val="both"/>
              <w:rPr>
                <w:rFonts w:ascii="Arial" w:hAnsi="Arial" w:cs="Arial"/>
              </w:rPr>
            </w:pPr>
            <w:r>
              <w:rPr>
                <w:rFonts w:ascii="Arial" w:hAnsi="Arial" w:cs="Arial"/>
              </w:rPr>
              <w:t>Dolíhal</w:t>
            </w:r>
          </w:p>
        </w:tc>
      </w:tr>
      <w:tr w:rsidR="00A5511D" w:rsidRPr="005912D6" w14:paraId="184763DE" w14:textId="77777777" w:rsidTr="008269FE">
        <w:tc>
          <w:tcPr>
            <w:tcW w:w="4531" w:type="dxa"/>
          </w:tcPr>
          <w:p w14:paraId="026462E6" w14:textId="77777777" w:rsidR="00A5511D" w:rsidRPr="005912D6" w:rsidRDefault="00A5511D" w:rsidP="00A5511D">
            <w:pPr>
              <w:jc w:val="both"/>
              <w:rPr>
                <w:rFonts w:ascii="Arial" w:hAnsi="Arial" w:cs="Arial"/>
              </w:rPr>
            </w:pPr>
            <w:r w:rsidRPr="005912D6">
              <w:rPr>
                <w:rFonts w:ascii="Arial" w:hAnsi="Arial" w:cs="Arial"/>
              </w:rPr>
              <w:t xml:space="preserve">MVSR </w:t>
            </w:r>
          </w:p>
        </w:tc>
        <w:tc>
          <w:tcPr>
            <w:tcW w:w="4530" w:type="dxa"/>
          </w:tcPr>
          <w:p w14:paraId="6032CF4B" w14:textId="3E3EB94A" w:rsidR="00A5511D" w:rsidRPr="005912D6" w:rsidRDefault="00A5511D" w:rsidP="00806E48">
            <w:pPr>
              <w:jc w:val="both"/>
              <w:rPr>
                <w:rFonts w:ascii="Arial" w:hAnsi="Arial" w:cs="Arial"/>
              </w:rPr>
            </w:pPr>
            <w:r w:rsidRPr="005912D6">
              <w:rPr>
                <w:rFonts w:ascii="Arial" w:hAnsi="Arial" w:cs="Arial"/>
              </w:rPr>
              <w:t>Kubinec</w:t>
            </w:r>
          </w:p>
        </w:tc>
      </w:tr>
      <w:tr w:rsidR="00A5511D" w:rsidRPr="005912D6" w14:paraId="4691A037" w14:textId="77777777" w:rsidTr="008269FE">
        <w:tc>
          <w:tcPr>
            <w:tcW w:w="4531" w:type="dxa"/>
          </w:tcPr>
          <w:p w14:paraId="05CEEA2F" w14:textId="3B48784F" w:rsidR="00A5511D" w:rsidRPr="005912D6" w:rsidRDefault="008269FE" w:rsidP="00A5511D">
            <w:pPr>
              <w:jc w:val="both"/>
              <w:rPr>
                <w:rFonts w:ascii="Arial" w:hAnsi="Arial" w:cs="Arial"/>
              </w:rPr>
            </w:pPr>
            <w:r>
              <w:rPr>
                <w:rFonts w:ascii="Arial" w:hAnsi="Arial" w:cs="Arial"/>
              </w:rPr>
              <w:t>Košický samosprávny kraj</w:t>
            </w:r>
          </w:p>
        </w:tc>
        <w:tc>
          <w:tcPr>
            <w:tcW w:w="4530" w:type="dxa"/>
          </w:tcPr>
          <w:p w14:paraId="6DFAB8D4" w14:textId="4CD31746" w:rsidR="00A5511D" w:rsidRPr="005912D6" w:rsidRDefault="008269FE" w:rsidP="00A5511D">
            <w:pPr>
              <w:jc w:val="both"/>
              <w:rPr>
                <w:rFonts w:ascii="Arial" w:hAnsi="Arial" w:cs="Arial"/>
              </w:rPr>
            </w:pPr>
            <w:r>
              <w:rPr>
                <w:rFonts w:ascii="Arial" w:hAnsi="Arial" w:cs="Arial"/>
              </w:rPr>
              <w:t>Lehotský</w:t>
            </w:r>
          </w:p>
        </w:tc>
      </w:tr>
      <w:tr w:rsidR="00A5511D" w:rsidRPr="005912D6" w14:paraId="2133FFB3" w14:textId="77777777" w:rsidTr="008269FE">
        <w:tc>
          <w:tcPr>
            <w:tcW w:w="4531" w:type="dxa"/>
          </w:tcPr>
          <w:p w14:paraId="5BBC39EB" w14:textId="6D6C2CC5" w:rsidR="00A5511D" w:rsidRPr="005912D6" w:rsidRDefault="00DA1383" w:rsidP="00A5511D">
            <w:pPr>
              <w:jc w:val="both"/>
              <w:rPr>
                <w:rFonts w:ascii="Arial" w:hAnsi="Arial" w:cs="Arial"/>
              </w:rPr>
            </w:pPr>
            <w:r>
              <w:rPr>
                <w:rFonts w:ascii="Arial" w:hAnsi="Arial" w:cs="Arial"/>
              </w:rPr>
              <w:t>s</w:t>
            </w:r>
            <w:r w:rsidR="006A5898" w:rsidRPr="005912D6">
              <w:rPr>
                <w:rFonts w:ascii="Arial" w:hAnsi="Arial" w:cs="Arial"/>
              </w:rPr>
              <w:t>lovensko</w:t>
            </w:r>
            <w:r w:rsidR="00B210ED" w:rsidRPr="005912D6">
              <w:rPr>
                <w:rFonts w:ascii="Arial" w:hAnsi="Arial" w:cs="Arial"/>
              </w:rPr>
              <w:t>.</w:t>
            </w:r>
            <w:r w:rsidR="00806E48">
              <w:rPr>
                <w:rFonts w:ascii="Arial" w:hAnsi="Arial" w:cs="Arial"/>
              </w:rPr>
              <w:t>d</w:t>
            </w:r>
            <w:r w:rsidR="006A5898" w:rsidRPr="005912D6">
              <w:rPr>
                <w:rFonts w:ascii="Arial" w:hAnsi="Arial" w:cs="Arial"/>
              </w:rPr>
              <w:t>igital</w:t>
            </w:r>
          </w:p>
        </w:tc>
        <w:tc>
          <w:tcPr>
            <w:tcW w:w="4530" w:type="dxa"/>
          </w:tcPr>
          <w:p w14:paraId="5F06C157" w14:textId="77777777" w:rsidR="00A5511D" w:rsidRPr="005912D6" w:rsidRDefault="006A5898" w:rsidP="00A5511D">
            <w:pPr>
              <w:jc w:val="both"/>
              <w:rPr>
                <w:rFonts w:ascii="Arial" w:hAnsi="Arial" w:cs="Arial"/>
              </w:rPr>
            </w:pPr>
            <w:r w:rsidRPr="005912D6">
              <w:rPr>
                <w:rFonts w:ascii="Arial" w:hAnsi="Arial" w:cs="Arial"/>
              </w:rPr>
              <w:t>Kulich</w:t>
            </w:r>
          </w:p>
        </w:tc>
      </w:tr>
      <w:tr w:rsidR="00A5511D" w:rsidRPr="005912D6" w14:paraId="31852BCD" w14:textId="77777777" w:rsidTr="008269FE">
        <w:tc>
          <w:tcPr>
            <w:tcW w:w="4531" w:type="dxa"/>
          </w:tcPr>
          <w:p w14:paraId="62E52861" w14:textId="7DD0070B" w:rsidR="00A5511D" w:rsidRPr="005912D6" w:rsidRDefault="00806E48" w:rsidP="00806E48">
            <w:pPr>
              <w:jc w:val="both"/>
              <w:rPr>
                <w:rFonts w:ascii="Arial" w:hAnsi="Arial" w:cs="Arial"/>
              </w:rPr>
            </w:pPr>
            <w:r>
              <w:rPr>
                <w:rFonts w:ascii="Arial" w:hAnsi="Arial" w:cs="Arial"/>
              </w:rPr>
              <w:t xml:space="preserve">DEUS </w:t>
            </w:r>
          </w:p>
        </w:tc>
        <w:tc>
          <w:tcPr>
            <w:tcW w:w="4530" w:type="dxa"/>
          </w:tcPr>
          <w:p w14:paraId="0C4AED7A" w14:textId="44600945" w:rsidR="00A5511D" w:rsidRPr="005912D6" w:rsidRDefault="00806E48" w:rsidP="00A5511D">
            <w:pPr>
              <w:jc w:val="both"/>
              <w:rPr>
                <w:rFonts w:ascii="Arial" w:hAnsi="Arial" w:cs="Arial"/>
              </w:rPr>
            </w:pPr>
            <w:r>
              <w:rPr>
                <w:rFonts w:ascii="Arial" w:hAnsi="Arial" w:cs="Arial"/>
              </w:rPr>
              <w:t>Omasta</w:t>
            </w:r>
          </w:p>
        </w:tc>
      </w:tr>
      <w:tr w:rsidR="00A5511D" w:rsidRPr="005912D6" w14:paraId="6EAE31D5" w14:textId="77777777" w:rsidTr="008269FE">
        <w:tc>
          <w:tcPr>
            <w:tcW w:w="4531" w:type="dxa"/>
          </w:tcPr>
          <w:p w14:paraId="5CEE2014" w14:textId="77777777" w:rsidR="00A5511D" w:rsidRPr="005912D6" w:rsidRDefault="006A5898" w:rsidP="00A5511D">
            <w:pPr>
              <w:jc w:val="both"/>
              <w:rPr>
                <w:rFonts w:ascii="Arial" w:hAnsi="Arial" w:cs="Arial"/>
              </w:rPr>
            </w:pPr>
            <w:r w:rsidRPr="005912D6">
              <w:rPr>
                <w:rFonts w:ascii="Arial" w:hAnsi="Arial" w:cs="Arial"/>
              </w:rPr>
              <w:t>MHSR</w:t>
            </w:r>
          </w:p>
        </w:tc>
        <w:tc>
          <w:tcPr>
            <w:tcW w:w="4530" w:type="dxa"/>
          </w:tcPr>
          <w:p w14:paraId="3651797B" w14:textId="77777777" w:rsidR="00A5511D" w:rsidRPr="005912D6" w:rsidRDefault="006A5898" w:rsidP="00A5511D">
            <w:pPr>
              <w:jc w:val="both"/>
              <w:rPr>
                <w:rFonts w:ascii="Arial" w:hAnsi="Arial" w:cs="Arial"/>
              </w:rPr>
            </w:pPr>
            <w:r w:rsidRPr="005912D6">
              <w:rPr>
                <w:rFonts w:ascii="Arial" w:hAnsi="Arial" w:cs="Arial"/>
              </w:rPr>
              <w:t>Daniš</w:t>
            </w:r>
          </w:p>
        </w:tc>
      </w:tr>
      <w:tr w:rsidR="00A5511D" w:rsidRPr="005912D6" w14:paraId="1A9BFF54" w14:textId="77777777" w:rsidTr="008269FE">
        <w:tc>
          <w:tcPr>
            <w:tcW w:w="4531" w:type="dxa"/>
          </w:tcPr>
          <w:p w14:paraId="2BBAA387" w14:textId="77777777" w:rsidR="00A5511D" w:rsidRPr="005912D6" w:rsidRDefault="006A5898" w:rsidP="00A5511D">
            <w:pPr>
              <w:jc w:val="both"/>
              <w:rPr>
                <w:rFonts w:ascii="Arial" w:hAnsi="Arial" w:cs="Arial"/>
              </w:rPr>
            </w:pPr>
            <w:r w:rsidRPr="005912D6">
              <w:rPr>
                <w:rFonts w:ascii="Arial" w:hAnsi="Arial" w:cs="Arial"/>
              </w:rPr>
              <w:t>MZSR/NCZI</w:t>
            </w:r>
          </w:p>
        </w:tc>
        <w:tc>
          <w:tcPr>
            <w:tcW w:w="4530" w:type="dxa"/>
          </w:tcPr>
          <w:p w14:paraId="3220424B" w14:textId="77777777" w:rsidR="00A5511D" w:rsidRPr="005912D6" w:rsidRDefault="006A5898" w:rsidP="00A5511D">
            <w:pPr>
              <w:jc w:val="both"/>
              <w:rPr>
                <w:rFonts w:ascii="Arial" w:hAnsi="Arial" w:cs="Arial"/>
              </w:rPr>
            </w:pPr>
            <w:r w:rsidRPr="005912D6">
              <w:rPr>
                <w:rFonts w:ascii="Arial" w:hAnsi="Arial" w:cs="Arial"/>
              </w:rPr>
              <w:t>Kavčiaková</w:t>
            </w:r>
          </w:p>
        </w:tc>
      </w:tr>
      <w:tr w:rsidR="00A5511D" w:rsidRPr="005912D6" w14:paraId="580E80F9" w14:textId="77777777" w:rsidTr="008269FE">
        <w:tc>
          <w:tcPr>
            <w:tcW w:w="4531" w:type="dxa"/>
          </w:tcPr>
          <w:p w14:paraId="6D9F0950" w14:textId="77777777" w:rsidR="00A5511D" w:rsidRPr="005912D6" w:rsidRDefault="006A5898" w:rsidP="00A5511D">
            <w:pPr>
              <w:jc w:val="both"/>
              <w:rPr>
                <w:rFonts w:ascii="Arial" w:hAnsi="Arial" w:cs="Arial"/>
              </w:rPr>
            </w:pPr>
            <w:r w:rsidRPr="005912D6">
              <w:rPr>
                <w:rFonts w:ascii="Arial" w:hAnsi="Arial" w:cs="Arial"/>
              </w:rPr>
              <w:t>PMÚSR</w:t>
            </w:r>
          </w:p>
        </w:tc>
        <w:tc>
          <w:tcPr>
            <w:tcW w:w="4530" w:type="dxa"/>
          </w:tcPr>
          <w:p w14:paraId="09352D10" w14:textId="77777777" w:rsidR="00A5511D" w:rsidRPr="005912D6" w:rsidRDefault="006A5898" w:rsidP="00A5511D">
            <w:pPr>
              <w:jc w:val="both"/>
              <w:rPr>
                <w:rFonts w:ascii="Arial" w:hAnsi="Arial" w:cs="Arial"/>
              </w:rPr>
            </w:pPr>
            <w:r w:rsidRPr="005912D6">
              <w:rPr>
                <w:rFonts w:ascii="Arial" w:hAnsi="Arial" w:cs="Arial"/>
              </w:rPr>
              <w:t>Ondruš</w:t>
            </w:r>
          </w:p>
        </w:tc>
      </w:tr>
      <w:tr w:rsidR="00A5511D" w:rsidRPr="005912D6" w14:paraId="092AAECB" w14:textId="77777777" w:rsidTr="008269FE">
        <w:tc>
          <w:tcPr>
            <w:tcW w:w="4531" w:type="dxa"/>
          </w:tcPr>
          <w:p w14:paraId="3F76B935" w14:textId="4F257AEE" w:rsidR="00A5511D" w:rsidRPr="005912D6" w:rsidRDefault="00806E48" w:rsidP="00A5511D">
            <w:pPr>
              <w:jc w:val="both"/>
              <w:rPr>
                <w:rFonts w:ascii="Arial" w:hAnsi="Arial" w:cs="Arial"/>
              </w:rPr>
            </w:pPr>
            <w:r>
              <w:rPr>
                <w:rFonts w:ascii="Arial" w:hAnsi="Arial" w:cs="Arial"/>
              </w:rPr>
              <w:t>ÚNMS</w:t>
            </w:r>
          </w:p>
        </w:tc>
        <w:tc>
          <w:tcPr>
            <w:tcW w:w="4530" w:type="dxa"/>
          </w:tcPr>
          <w:p w14:paraId="48ABFD8C" w14:textId="5519345E" w:rsidR="00A5511D" w:rsidRPr="005912D6" w:rsidRDefault="00806E48" w:rsidP="00A5511D">
            <w:pPr>
              <w:jc w:val="both"/>
              <w:rPr>
                <w:rFonts w:ascii="Arial" w:hAnsi="Arial" w:cs="Arial"/>
              </w:rPr>
            </w:pPr>
            <w:r>
              <w:rPr>
                <w:rFonts w:ascii="Arial" w:hAnsi="Arial" w:cs="Arial"/>
              </w:rPr>
              <w:t>Madarás</w:t>
            </w:r>
          </w:p>
        </w:tc>
      </w:tr>
      <w:tr w:rsidR="00A5511D" w:rsidRPr="005912D6" w14:paraId="74009ABF" w14:textId="77777777" w:rsidTr="008269FE">
        <w:tc>
          <w:tcPr>
            <w:tcW w:w="4531" w:type="dxa"/>
          </w:tcPr>
          <w:p w14:paraId="764F6E42" w14:textId="77777777" w:rsidR="00A5511D" w:rsidRPr="005912D6" w:rsidRDefault="006A5898" w:rsidP="00A5511D">
            <w:pPr>
              <w:jc w:val="both"/>
              <w:rPr>
                <w:rFonts w:ascii="Arial" w:hAnsi="Arial" w:cs="Arial"/>
              </w:rPr>
            </w:pPr>
            <w:r w:rsidRPr="005912D6">
              <w:rPr>
                <w:rFonts w:ascii="Arial" w:hAnsi="Arial" w:cs="Arial"/>
              </w:rPr>
              <w:t>MSSR</w:t>
            </w:r>
          </w:p>
        </w:tc>
        <w:tc>
          <w:tcPr>
            <w:tcW w:w="4530" w:type="dxa"/>
          </w:tcPr>
          <w:p w14:paraId="6045E21F" w14:textId="4D929E12" w:rsidR="00A5511D" w:rsidRPr="005912D6" w:rsidRDefault="00433A6F" w:rsidP="00806E48">
            <w:pPr>
              <w:jc w:val="both"/>
              <w:rPr>
                <w:rFonts w:ascii="Arial" w:hAnsi="Arial" w:cs="Arial"/>
              </w:rPr>
            </w:pPr>
            <w:r>
              <w:rPr>
                <w:rFonts w:ascii="Arial" w:hAnsi="Arial" w:cs="Arial"/>
              </w:rPr>
              <w:t>Hušek</w:t>
            </w:r>
            <w:bookmarkStart w:id="0" w:name="_GoBack"/>
            <w:bookmarkEnd w:id="0"/>
            <w:r w:rsidR="006A5898" w:rsidRPr="005912D6">
              <w:rPr>
                <w:rFonts w:ascii="Arial" w:hAnsi="Arial" w:cs="Arial"/>
              </w:rPr>
              <w:t xml:space="preserve"> </w:t>
            </w:r>
          </w:p>
        </w:tc>
      </w:tr>
      <w:tr w:rsidR="00A5511D" w:rsidRPr="005912D6" w14:paraId="42C96D92" w14:textId="77777777" w:rsidTr="008269FE">
        <w:tc>
          <w:tcPr>
            <w:tcW w:w="4531" w:type="dxa"/>
          </w:tcPr>
          <w:p w14:paraId="563D8945" w14:textId="77777777" w:rsidR="00A5511D" w:rsidRPr="005912D6" w:rsidRDefault="006A5898" w:rsidP="00A5511D">
            <w:pPr>
              <w:jc w:val="both"/>
              <w:rPr>
                <w:rFonts w:ascii="Arial" w:hAnsi="Arial" w:cs="Arial"/>
              </w:rPr>
            </w:pPr>
            <w:r w:rsidRPr="005912D6">
              <w:rPr>
                <w:rFonts w:ascii="Arial" w:hAnsi="Arial" w:cs="Arial"/>
              </w:rPr>
              <w:t>PPP</w:t>
            </w:r>
          </w:p>
        </w:tc>
        <w:tc>
          <w:tcPr>
            <w:tcW w:w="4530" w:type="dxa"/>
          </w:tcPr>
          <w:p w14:paraId="11C80DE3" w14:textId="77777777" w:rsidR="00A5511D" w:rsidRPr="005912D6" w:rsidRDefault="006A5898" w:rsidP="00A5511D">
            <w:pPr>
              <w:jc w:val="both"/>
              <w:rPr>
                <w:rFonts w:ascii="Arial" w:hAnsi="Arial" w:cs="Arial"/>
              </w:rPr>
            </w:pPr>
            <w:r w:rsidRPr="005912D6">
              <w:rPr>
                <w:rFonts w:ascii="Arial" w:hAnsi="Arial" w:cs="Arial"/>
              </w:rPr>
              <w:t>Nechala</w:t>
            </w:r>
          </w:p>
        </w:tc>
      </w:tr>
      <w:tr w:rsidR="00A5511D" w:rsidRPr="005912D6" w14:paraId="52919F2F" w14:textId="77777777" w:rsidTr="008269FE">
        <w:tc>
          <w:tcPr>
            <w:tcW w:w="4531" w:type="dxa"/>
          </w:tcPr>
          <w:p w14:paraId="447D450B" w14:textId="7044B240" w:rsidR="00A5511D" w:rsidRPr="005912D6" w:rsidRDefault="00806E48" w:rsidP="008269FE">
            <w:pPr>
              <w:jc w:val="both"/>
              <w:rPr>
                <w:rFonts w:ascii="Arial" w:hAnsi="Arial" w:cs="Arial"/>
              </w:rPr>
            </w:pPr>
            <w:r>
              <w:rPr>
                <w:rFonts w:ascii="Arial" w:hAnsi="Arial" w:cs="Arial"/>
              </w:rPr>
              <w:t>Ú</w:t>
            </w:r>
            <w:r w:rsidR="008269FE">
              <w:rPr>
                <w:rFonts w:ascii="Arial" w:hAnsi="Arial" w:cs="Arial"/>
              </w:rPr>
              <w:t>GKK</w:t>
            </w:r>
          </w:p>
        </w:tc>
        <w:tc>
          <w:tcPr>
            <w:tcW w:w="4530" w:type="dxa"/>
          </w:tcPr>
          <w:p w14:paraId="14CE8A05" w14:textId="6757D4BC" w:rsidR="00A5511D" w:rsidRPr="005912D6" w:rsidRDefault="008269FE" w:rsidP="00A5511D">
            <w:pPr>
              <w:jc w:val="both"/>
              <w:rPr>
                <w:rFonts w:ascii="Arial" w:hAnsi="Arial" w:cs="Arial"/>
              </w:rPr>
            </w:pPr>
            <w:r>
              <w:rPr>
                <w:rFonts w:ascii="Arial" w:hAnsi="Arial" w:cs="Arial"/>
              </w:rPr>
              <w:t>Nociar</w:t>
            </w:r>
          </w:p>
        </w:tc>
      </w:tr>
      <w:tr w:rsidR="00A5511D" w:rsidRPr="005912D6" w14:paraId="73D218D4" w14:textId="77777777" w:rsidTr="008269FE">
        <w:tc>
          <w:tcPr>
            <w:tcW w:w="4531" w:type="dxa"/>
          </w:tcPr>
          <w:p w14:paraId="37949ED9" w14:textId="05A9574A" w:rsidR="00A5511D" w:rsidRPr="005912D6" w:rsidRDefault="00806E48" w:rsidP="00A5511D">
            <w:pPr>
              <w:jc w:val="both"/>
              <w:rPr>
                <w:rFonts w:ascii="Arial" w:hAnsi="Arial" w:cs="Arial"/>
              </w:rPr>
            </w:pPr>
            <w:r>
              <w:rPr>
                <w:rFonts w:ascii="Arial" w:hAnsi="Arial" w:cs="Arial"/>
              </w:rPr>
              <w:t>SIS</w:t>
            </w:r>
          </w:p>
        </w:tc>
        <w:tc>
          <w:tcPr>
            <w:tcW w:w="4530" w:type="dxa"/>
          </w:tcPr>
          <w:p w14:paraId="5B9EBD54" w14:textId="62A430FD" w:rsidR="00A5511D" w:rsidRPr="005912D6" w:rsidRDefault="00806E48" w:rsidP="00A5511D">
            <w:pPr>
              <w:jc w:val="both"/>
              <w:rPr>
                <w:rFonts w:ascii="Arial" w:hAnsi="Arial" w:cs="Arial"/>
              </w:rPr>
            </w:pPr>
            <w:r>
              <w:rPr>
                <w:rFonts w:ascii="Arial" w:hAnsi="Arial" w:cs="Arial"/>
              </w:rPr>
              <w:t>Raučina</w:t>
            </w:r>
          </w:p>
        </w:tc>
      </w:tr>
      <w:tr w:rsidR="00A5511D" w:rsidRPr="005912D6" w14:paraId="500480D4" w14:textId="77777777" w:rsidTr="008269FE">
        <w:tc>
          <w:tcPr>
            <w:tcW w:w="4531" w:type="dxa"/>
          </w:tcPr>
          <w:p w14:paraId="5E0F6AA2" w14:textId="4F9B19CF" w:rsidR="00A5511D" w:rsidRPr="005912D6" w:rsidRDefault="00A5511D" w:rsidP="00A5511D">
            <w:pPr>
              <w:jc w:val="both"/>
              <w:rPr>
                <w:rFonts w:ascii="Arial" w:hAnsi="Arial" w:cs="Arial"/>
              </w:rPr>
            </w:pPr>
          </w:p>
        </w:tc>
        <w:tc>
          <w:tcPr>
            <w:tcW w:w="4530" w:type="dxa"/>
          </w:tcPr>
          <w:p w14:paraId="107ABF2B" w14:textId="3B4C935C" w:rsidR="00A5511D" w:rsidRPr="005912D6" w:rsidRDefault="00A5511D" w:rsidP="00A5511D">
            <w:pPr>
              <w:jc w:val="both"/>
              <w:rPr>
                <w:rFonts w:ascii="Arial" w:hAnsi="Arial" w:cs="Arial"/>
              </w:rPr>
            </w:pPr>
          </w:p>
        </w:tc>
      </w:tr>
      <w:tr w:rsidR="00A5511D" w:rsidRPr="005912D6" w14:paraId="0948086C" w14:textId="77777777" w:rsidTr="008269FE">
        <w:tc>
          <w:tcPr>
            <w:tcW w:w="4531" w:type="dxa"/>
          </w:tcPr>
          <w:p w14:paraId="57CF254C" w14:textId="51282940" w:rsidR="00A5511D" w:rsidRPr="005912D6" w:rsidRDefault="00A5511D" w:rsidP="00A5511D">
            <w:pPr>
              <w:jc w:val="both"/>
              <w:rPr>
                <w:rFonts w:ascii="Arial" w:hAnsi="Arial" w:cs="Arial"/>
                <w:b/>
              </w:rPr>
            </w:pPr>
          </w:p>
        </w:tc>
        <w:tc>
          <w:tcPr>
            <w:tcW w:w="4530" w:type="dxa"/>
          </w:tcPr>
          <w:p w14:paraId="40D6BE1C" w14:textId="77777777" w:rsidR="00A5511D" w:rsidRPr="005912D6" w:rsidRDefault="00A5511D" w:rsidP="00A5511D">
            <w:pPr>
              <w:jc w:val="both"/>
              <w:rPr>
                <w:rFonts w:ascii="Arial" w:hAnsi="Arial" w:cs="Arial"/>
                <w:b/>
              </w:rPr>
            </w:pPr>
          </w:p>
        </w:tc>
      </w:tr>
      <w:tr w:rsidR="00A5511D" w:rsidRPr="005912D6" w14:paraId="28F8D3B5" w14:textId="77777777" w:rsidTr="008269FE">
        <w:tc>
          <w:tcPr>
            <w:tcW w:w="4531" w:type="dxa"/>
          </w:tcPr>
          <w:p w14:paraId="2B77DF51" w14:textId="5A91DE21" w:rsidR="00A5511D" w:rsidRPr="008269FE" w:rsidRDefault="00806E48" w:rsidP="00A5511D">
            <w:pPr>
              <w:jc w:val="both"/>
              <w:rPr>
                <w:rFonts w:ascii="Arial" w:hAnsi="Arial" w:cs="Arial"/>
              </w:rPr>
            </w:pPr>
            <w:r>
              <w:rPr>
                <w:rFonts w:ascii="Arial" w:hAnsi="Arial" w:cs="Arial"/>
                <w:b/>
              </w:rPr>
              <w:t>Ospravedlnili sa</w:t>
            </w:r>
          </w:p>
        </w:tc>
        <w:tc>
          <w:tcPr>
            <w:tcW w:w="4530" w:type="dxa"/>
          </w:tcPr>
          <w:p w14:paraId="30BEF63A" w14:textId="77777777" w:rsidR="00A5511D" w:rsidRPr="005912D6" w:rsidRDefault="00A5511D" w:rsidP="00A5511D">
            <w:pPr>
              <w:jc w:val="both"/>
              <w:rPr>
                <w:rFonts w:ascii="Arial" w:hAnsi="Arial" w:cs="Arial"/>
                <w:b/>
              </w:rPr>
            </w:pPr>
          </w:p>
        </w:tc>
      </w:tr>
      <w:tr w:rsidR="00A5511D" w:rsidRPr="005912D6" w14:paraId="57AE26EB" w14:textId="77777777" w:rsidTr="008269FE">
        <w:tc>
          <w:tcPr>
            <w:tcW w:w="4531" w:type="dxa"/>
          </w:tcPr>
          <w:p w14:paraId="6CDE88EA" w14:textId="04E3C985" w:rsidR="00A5511D" w:rsidRPr="00806E48" w:rsidRDefault="00806E48" w:rsidP="00A5511D">
            <w:pPr>
              <w:jc w:val="both"/>
              <w:rPr>
                <w:rFonts w:ascii="Arial" w:hAnsi="Arial" w:cs="Arial"/>
              </w:rPr>
            </w:pPr>
            <w:r w:rsidRPr="00806E48">
              <w:rPr>
                <w:rFonts w:ascii="Arial" w:hAnsi="Arial" w:cs="Arial"/>
              </w:rPr>
              <w:t>ÚJD SR</w:t>
            </w:r>
          </w:p>
        </w:tc>
        <w:tc>
          <w:tcPr>
            <w:tcW w:w="4530" w:type="dxa"/>
          </w:tcPr>
          <w:p w14:paraId="303761C2" w14:textId="77777777" w:rsidR="00A5511D" w:rsidRPr="005912D6" w:rsidRDefault="00A5511D" w:rsidP="00A5511D">
            <w:pPr>
              <w:jc w:val="both"/>
              <w:rPr>
                <w:rFonts w:ascii="Arial" w:hAnsi="Arial" w:cs="Arial"/>
                <w:b/>
              </w:rPr>
            </w:pPr>
          </w:p>
        </w:tc>
      </w:tr>
      <w:tr w:rsidR="00A5511D" w:rsidRPr="005912D6" w14:paraId="0D144BB2" w14:textId="77777777" w:rsidTr="008269FE">
        <w:tc>
          <w:tcPr>
            <w:tcW w:w="4531" w:type="dxa"/>
          </w:tcPr>
          <w:p w14:paraId="4F17DE3C" w14:textId="042844BA" w:rsidR="00A5511D" w:rsidRPr="00806E48" w:rsidRDefault="00806E48" w:rsidP="00A5511D">
            <w:pPr>
              <w:jc w:val="both"/>
              <w:rPr>
                <w:rFonts w:ascii="Arial" w:hAnsi="Arial" w:cs="Arial"/>
              </w:rPr>
            </w:pPr>
            <w:r w:rsidRPr="00806E48">
              <w:rPr>
                <w:rFonts w:ascii="Arial" w:hAnsi="Arial" w:cs="Arial"/>
              </w:rPr>
              <w:t>MDaV SR</w:t>
            </w:r>
          </w:p>
        </w:tc>
        <w:tc>
          <w:tcPr>
            <w:tcW w:w="4530" w:type="dxa"/>
          </w:tcPr>
          <w:p w14:paraId="61B58DF8" w14:textId="77777777" w:rsidR="00A5511D" w:rsidRPr="005912D6" w:rsidRDefault="00A5511D" w:rsidP="00A5511D">
            <w:pPr>
              <w:jc w:val="both"/>
              <w:rPr>
                <w:rFonts w:ascii="Arial" w:hAnsi="Arial" w:cs="Arial"/>
                <w:b/>
              </w:rPr>
            </w:pPr>
          </w:p>
        </w:tc>
      </w:tr>
      <w:tr w:rsidR="008269FE" w:rsidRPr="005912D6" w14:paraId="5DE3DC36" w14:textId="77777777" w:rsidTr="008269FE">
        <w:tc>
          <w:tcPr>
            <w:tcW w:w="4531" w:type="dxa"/>
          </w:tcPr>
          <w:p w14:paraId="5EA8B504" w14:textId="2804357E" w:rsidR="008269FE" w:rsidRPr="00806E48" w:rsidRDefault="00806E48" w:rsidP="008269FE">
            <w:pPr>
              <w:jc w:val="both"/>
              <w:rPr>
                <w:rFonts w:ascii="Arial" w:hAnsi="Arial" w:cs="Arial"/>
              </w:rPr>
            </w:pPr>
            <w:r w:rsidRPr="00806E48">
              <w:rPr>
                <w:rFonts w:ascii="Arial" w:hAnsi="Arial" w:cs="Arial"/>
              </w:rPr>
              <w:t>MFSR</w:t>
            </w:r>
          </w:p>
        </w:tc>
        <w:tc>
          <w:tcPr>
            <w:tcW w:w="4530" w:type="dxa"/>
          </w:tcPr>
          <w:p w14:paraId="093553FE" w14:textId="77777777" w:rsidR="008269FE" w:rsidRPr="005912D6" w:rsidRDefault="008269FE" w:rsidP="008269FE">
            <w:pPr>
              <w:jc w:val="both"/>
              <w:rPr>
                <w:rFonts w:ascii="Arial" w:hAnsi="Arial" w:cs="Arial"/>
                <w:b/>
              </w:rPr>
            </w:pPr>
          </w:p>
        </w:tc>
      </w:tr>
      <w:tr w:rsidR="008269FE" w:rsidRPr="005912D6" w14:paraId="37720A04" w14:textId="77777777" w:rsidTr="008269FE">
        <w:tc>
          <w:tcPr>
            <w:tcW w:w="4531" w:type="dxa"/>
          </w:tcPr>
          <w:p w14:paraId="0983F284" w14:textId="3B01D4E4" w:rsidR="008269FE" w:rsidRPr="005912D6" w:rsidRDefault="008269FE" w:rsidP="008269FE">
            <w:pPr>
              <w:jc w:val="both"/>
              <w:rPr>
                <w:rFonts w:ascii="Arial" w:hAnsi="Arial" w:cs="Arial"/>
                <w:b/>
              </w:rPr>
            </w:pPr>
            <w:r w:rsidRPr="008269FE">
              <w:rPr>
                <w:rFonts w:ascii="Arial" w:hAnsi="Arial" w:cs="Arial"/>
              </w:rPr>
              <w:t>NASES</w:t>
            </w:r>
          </w:p>
        </w:tc>
        <w:tc>
          <w:tcPr>
            <w:tcW w:w="4530" w:type="dxa"/>
          </w:tcPr>
          <w:p w14:paraId="25FB5ED6" w14:textId="77777777" w:rsidR="008269FE" w:rsidRPr="005912D6" w:rsidRDefault="008269FE" w:rsidP="008269FE">
            <w:pPr>
              <w:jc w:val="both"/>
              <w:rPr>
                <w:rFonts w:ascii="Arial" w:hAnsi="Arial" w:cs="Arial"/>
                <w:b/>
              </w:rPr>
            </w:pPr>
          </w:p>
        </w:tc>
      </w:tr>
      <w:tr w:rsidR="008269FE" w:rsidRPr="005912D6" w14:paraId="21549FFE" w14:textId="77777777" w:rsidTr="008269FE">
        <w:tc>
          <w:tcPr>
            <w:tcW w:w="4531" w:type="dxa"/>
          </w:tcPr>
          <w:p w14:paraId="288A1D53" w14:textId="505101D9" w:rsidR="008269FE" w:rsidRPr="005912D6" w:rsidRDefault="008269FE" w:rsidP="008269FE">
            <w:pPr>
              <w:jc w:val="both"/>
              <w:rPr>
                <w:rFonts w:ascii="Arial" w:hAnsi="Arial" w:cs="Arial"/>
                <w:b/>
              </w:rPr>
            </w:pPr>
            <w:r w:rsidRPr="008269FE">
              <w:rPr>
                <w:rFonts w:ascii="Arial" w:hAnsi="Arial" w:cs="Arial"/>
              </w:rPr>
              <w:t>ITAS</w:t>
            </w:r>
          </w:p>
        </w:tc>
        <w:tc>
          <w:tcPr>
            <w:tcW w:w="4530" w:type="dxa"/>
          </w:tcPr>
          <w:p w14:paraId="5593C760" w14:textId="77777777" w:rsidR="008269FE" w:rsidRPr="005912D6" w:rsidRDefault="008269FE" w:rsidP="008269FE">
            <w:pPr>
              <w:jc w:val="both"/>
              <w:rPr>
                <w:rFonts w:ascii="Arial" w:hAnsi="Arial" w:cs="Arial"/>
                <w:b/>
              </w:rPr>
            </w:pPr>
          </w:p>
        </w:tc>
      </w:tr>
    </w:tbl>
    <w:p w14:paraId="37F65218" w14:textId="77777777" w:rsidR="00384160" w:rsidRDefault="00384160" w:rsidP="00A5511D">
      <w:pPr>
        <w:jc w:val="both"/>
        <w:rPr>
          <w:rFonts w:ascii="Arial" w:hAnsi="Arial" w:cs="Arial"/>
        </w:rPr>
      </w:pPr>
    </w:p>
    <w:p w14:paraId="1AC294E8" w14:textId="3F1A6CBF" w:rsidR="00873216" w:rsidRPr="005912D6" w:rsidRDefault="00873216" w:rsidP="00693ED0">
      <w:pPr>
        <w:pStyle w:val="Odsekzoznamu"/>
        <w:numPr>
          <w:ilvl w:val="0"/>
          <w:numId w:val="2"/>
        </w:numPr>
        <w:ind w:left="284" w:hanging="284"/>
        <w:jc w:val="both"/>
        <w:rPr>
          <w:rFonts w:ascii="Arial" w:hAnsi="Arial" w:cs="Arial"/>
        </w:rPr>
      </w:pPr>
      <w:r w:rsidRPr="005912D6">
        <w:rPr>
          <w:rFonts w:ascii="Arial" w:hAnsi="Arial" w:cs="Arial"/>
        </w:rPr>
        <w:t xml:space="preserve">Predseda pracovnej skupiny predstavil </w:t>
      </w:r>
      <w:r w:rsidR="00A51D36">
        <w:rPr>
          <w:rFonts w:ascii="Arial" w:hAnsi="Arial" w:cs="Arial"/>
        </w:rPr>
        <w:t>tému zasadnutia pracovnej skupiny, ktorou je stav pripravovanej  „Národnej koncepcie informatizácie verejnej správy 2021“ (ďalej len „</w:t>
      </w:r>
      <w:r w:rsidR="00A51D36" w:rsidRPr="00A51D36">
        <w:rPr>
          <w:rFonts w:ascii="Arial" w:hAnsi="Arial" w:cs="Arial"/>
          <w:b/>
          <w:i/>
        </w:rPr>
        <w:t>NKIVS</w:t>
      </w:r>
      <w:r w:rsidR="00A51D36">
        <w:rPr>
          <w:rFonts w:ascii="Arial" w:hAnsi="Arial" w:cs="Arial"/>
        </w:rPr>
        <w:t>“)</w:t>
      </w:r>
      <w:r w:rsidRPr="005912D6">
        <w:rPr>
          <w:rFonts w:ascii="Arial" w:hAnsi="Arial" w:cs="Arial"/>
        </w:rPr>
        <w:t xml:space="preserve"> </w:t>
      </w:r>
      <w:r w:rsidR="00A51D36">
        <w:rPr>
          <w:rFonts w:ascii="Arial" w:hAnsi="Arial" w:cs="Arial"/>
        </w:rPr>
        <w:t>v rámci čoho predseda pracovnej skupiny</w:t>
      </w:r>
      <w:r w:rsidR="008563B2" w:rsidRPr="005912D6">
        <w:rPr>
          <w:rFonts w:ascii="Arial" w:hAnsi="Arial" w:cs="Arial"/>
        </w:rPr>
        <w:t>:</w:t>
      </w:r>
    </w:p>
    <w:p w14:paraId="35D75708" w14:textId="77777777" w:rsidR="00065803" w:rsidRPr="005912D6" w:rsidRDefault="00065803" w:rsidP="00065803">
      <w:pPr>
        <w:pStyle w:val="Odsekzoznamu"/>
        <w:ind w:left="426"/>
        <w:jc w:val="both"/>
        <w:rPr>
          <w:rFonts w:ascii="Arial" w:hAnsi="Arial" w:cs="Arial"/>
        </w:rPr>
      </w:pPr>
    </w:p>
    <w:p w14:paraId="2132A413" w14:textId="292C2DAD" w:rsidR="00873216" w:rsidRPr="005912D6" w:rsidRDefault="00A51D36" w:rsidP="00873216">
      <w:pPr>
        <w:pStyle w:val="Odsekzoznamu"/>
        <w:numPr>
          <w:ilvl w:val="0"/>
          <w:numId w:val="5"/>
        </w:numPr>
        <w:jc w:val="both"/>
        <w:rPr>
          <w:rFonts w:ascii="Arial" w:hAnsi="Arial" w:cs="Arial"/>
        </w:rPr>
      </w:pPr>
      <w:r>
        <w:rPr>
          <w:rFonts w:ascii="Arial" w:hAnsi="Arial" w:cs="Arial"/>
        </w:rPr>
        <w:t>Vysv</w:t>
      </w:r>
      <w:r w:rsidR="00F60497">
        <w:rPr>
          <w:rFonts w:ascii="Arial" w:hAnsi="Arial" w:cs="Arial"/>
        </w:rPr>
        <w:t>e</w:t>
      </w:r>
      <w:r>
        <w:rPr>
          <w:rFonts w:ascii="Arial" w:hAnsi="Arial" w:cs="Arial"/>
        </w:rPr>
        <w:t>tlil aktuálny stav NKIVS</w:t>
      </w:r>
      <w:r w:rsidR="00F60497">
        <w:rPr>
          <w:rFonts w:ascii="Arial" w:hAnsi="Arial" w:cs="Arial"/>
        </w:rPr>
        <w:t>,</w:t>
      </w:r>
    </w:p>
    <w:p w14:paraId="1C86F841" w14:textId="5AAFE27A" w:rsidR="00EA57C1" w:rsidRPr="005912D6" w:rsidRDefault="00F60497" w:rsidP="00873216">
      <w:pPr>
        <w:pStyle w:val="Odsekzoznamu"/>
        <w:numPr>
          <w:ilvl w:val="0"/>
          <w:numId w:val="5"/>
        </w:numPr>
        <w:jc w:val="both"/>
        <w:rPr>
          <w:rFonts w:ascii="Arial" w:hAnsi="Arial" w:cs="Arial"/>
        </w:rPr>
      </w:pPr>
      <w:r>
        <w:rPr>
          <w:rFonts w:ascii="Arial" w:hAnsi="Arial" w:cs="Arial"/>
        </w:rPr>
        <w:t>Otvoril diskusiu k jednotlivým prioritám identifikovaným v rámci NKIVS, konkrétne v rámci témy: verejné obstarávanie a nákup.</w:t>
      </w:r>
    </w:p>
    <w:p w14:paraId="1A137E39" w14:textId="50197E41" w:rsidR="00693ED0" w:rsidRPr="005912D6" w:rsidRDefault="00693ED0" w:rsidP="00693ED0">
      <w:pPr>
        <w:pStyle w:val="Odsekzoznamu"/>
        <w:ind w:left="1068"/>
        <w:jc w:val="both"/>
        <w:rPr>
          <w:rFonts w:ascii="Arial" w:hAnsi="Arial" w:cs="Arial"/>
        </w:rPr>
      </w:pPr>
    </w:p>
    <w:p w14:paraId="579201AF" w14:textId="30B04244" w:rsidR="00693ED0" w:rsidRPr="00F60497" w:rsidRDefault="00693ED0" w:rsidP="00F60497">
      <w:pPr>
        <w:jc w:val="both"/>
        <w:rPr>
          <w:rFonts w:ascii="Arial" w:hAnsi="Arial" w:cs="Arial"/>
        </w:rPr>
      </w:pPr>
    </w:p>
    <w:p w14:paraId="09F1B206" w14:textId="4288698D" w:rsidR="00F60497" w:rsidRDefault="00873216" w:rsidP="00F60497">
      <w:pPr>
        <w:tabs>
          <w:tab w:val="left" w:pos="0"/>
        </w:tabs>
        <w:jc w:val="both"/>
        <w:rPr>
          <w:rFonts w:ascii="Arial" w:hAnsi="Arial" w:cs="Arial"/>
        </w:rPr>
      </w:pPr>
      <w:r w:rsidRPr="005912D6">
        <w:rPr>
          <w:rFonts w:ascii="Arial" w:hAnsi="Arial" w:cs="Arial"/>
        </w:rPr>
        <w:t xml:space="preserve">Predseda pracovnej skupiny </w:t>
      </w:r>
      <w:r w:rsidR="00F60497">
        <w:rPr>
          <w:rFonts w:ascii="Arial" w:hAnsi="Arial" w:cs="Arial"/>
        </w:rPr>
        <w:t xml:space="preserve">sa na úvod poďakoval všetkým prítomným za čas a tiež za pripomienky, ktoré boli k NKIVS zaslané a zároveň uviedol, že v prípade, ak členovia pracovnej skupiny majú k téme ďalšie pripomienky môžu ich predniesť v rámci diskusie a zároveň </w:t>
      </w:r>
      <w:r w:rsidRPr="005912D6">
        <w:rPr>
          <w:rFonts w:ascii="Arial" w:hAnsi="Arial" w:cs="Arial"/>
        </w:rPr>
        <w:t>uviedol,</w:t>
      </w:r>
      <w:r w:rsidR="00F60497">
        <w:rPr>
          <w:rFonts w:ascii="Arial" w:hAnsi="Arial" w:cs="Arial"/>
        </w:rPr>
        <w:t xml:space="preserve"> že písomne môžu zaslať pripomienky do pondelka 12.04.2021. Predseda pracovnej skupiny vysvetlili prítomným členom</w:t>
      </w:r>
      <w:r w:rsidR="001E0AEC">
        <w:rPr>
          <w:rFonts w:ascii="Arial" w:hAnsi="Arial" w:cs="Arial"/>
        </w:rPr>
        <w:t xml:space="preserve"> pracovnej skupiny</w:t>
      </w:r>
      <w:r w:rsidR="00F60497">
        <w:rPr>
          <w:rFonts w:ascii="Arial" w:hAnsi="Arial" w:cs="Arial"/>
        </w:rPr>
        <w:t xml:space="preserve"> genézu NKIVS</w:t>
      </w:r>
      <w:r w:rsidR="001E0AEC">
        <w:rPr>
          <w:rFonts w:ascii="Arial" w:hAnsi="Arial" w:cs="Arial"/>
        </w:rPr>
        <w:t>,</w:t>
      </w:r>
      <w:r w:rsidR="00F60497">
        <w:rPr>
          <w:rFonts w:ascii="Arial" w:hAnsi="Arial" w:cs="Arial"/>
        </w:rPr>
        <w:t xml:space="preserve"> ako aj to, že v rámci kapitoly č. 3 NKIVS bol formulovaný iný jazyk ako v rámci kapitoly č. 4 NKIVS, ktorá predstavuje vyššiu úroveň detailu vo vzťahu k tretej kapitole. Zároveň boli členovia informovaní, že pôvodná kapitola č. 6 a jej text bol presunutý do kapitoly č. 4. Predseda pracovnej skupiny následne predstavil identifikované opatrenia v rámci témy verejné obstarávanie a nákup </w:t>
      </w:r>
      <w:r w:rsidR="00D23B0D">
        <w:rPr>
          <w:rFonts w:ascii="Arial" w:hAnsi="Arial" w:cs="Arial"/>
        </w:rPr>
        <w:t xml:space="preserve">a v rámci každého opatrenia bol členom pracovnej skupiny poskytnutý priestor na diskusiu a prípadné pripomienky. </w:t>
      </w:r>
    </w:p>
    <w:p w14:paraId="4F83983E" w14:textId="6BFD33B3" w:rsidR="00F60497" w:rsidRPr="005C4A4D" w:rsidRDefault="005C4A4D" w:rsidP="00F60497">
      <w:pPr>
        <w:tabs>
          <w:tab w:val="left" w:pos="0"/>
        </w:tabs>
        <w:jc w:val="both"/>
        <w:rPr>
          <w:rFonts w:ascii="Arial" w:hAnsi="Arial" w:cs="Arial"/>
        </w:rPr>
      </w:pPr>
      <w:r w:rsidRPr="005C4A4D">
        <w:rPr>
          <w:rFonts w:ascii="Arial" w:hAnsi="Arial" w:cs="Arial"/>
          <w:b/>
        </w:rPr>
        <w:t xml:space="preserve">Opatrenie č. 1: </w:t>
      </w:r>
      <w:r w:rsidRPr="005C4A4D">
        <w:rPr>
          <w:rFonts w:ascii="Arial" w:hAnsi="Arial" w:cs="Arial"/>
          <w:b/>
          <w:bCs/>
        </w:rPr>
        <w:t>Centrálne riadenie</w:t>
      </w:r>
      <w:r w:rsidRPr="005C4A4D">
        <w:rPr>
          <w:rStyle w:val="normaltextrun"/>
          <w:rFonts w:ascii="Arial" w:hAnsi="Arial" w:cs="Arial"/>
          <w:b/>
          <w:bCs/>
          <w:szCs w:val="36"/>
        </w:rPr>
        <w:t xml:space="preserve"> </w:t>
      </w:r>
      <w:r w:rsidRPr="005C4A4D">
        <w:rPr>
          <w:rFonts w:ascii="Arial" w:hAnsi="Arial" w:cs="Arial"/>
          <w:b/>
          <w:bCs/>
        </w:rPr>
        <w:t>vybraných IKT</w:t>
      </w:r>
      <w:r w:rsidRPr="005C4A4D">
        <w:rPr>
          <w:rStyle w:val="normaltextrun"/>
          <w:rFonts w:ascii="Arial" w:hAnsi="Arial" w:cs="Arial"/>
          <w:b/>
          <w:bCs/>
          <w:szCs w:val="36"/>
        </w:rPr>
        <w:t xml:space="preserve"> </w:t>
      </w:r>
      <w:r w:rsidRPr="005C4A4D">
        <w:rPr>
          <w:rFonts w:ascii="Arial" w:hAnsi="Arial" w:cs="Arial"/>
          <w:b/>
          <w:bCs/>
        </w:rPr>
        <w:t>komodít</w:t>
      </w:r>
    </w:p>
    <w:p w14:paraId="6312402D" w14:textId="3279D299" w:rsidR="00F60497" w:rsidRDefault="005C4A4D" w:rsidP="00F60497">
      <w:pPr>
        <w:tabs>
          <w:tab w:val="left" w:pos="0"/>
        </w:tabs>
        <w:jc w:val="both"/>
        <w:rPr>
          <w:rFonts w:ascii="Arial" w:hAnsi="Arial" w:cs="Arial"/>
        </w:rPr>
      </w:pPr>
      <w:r>
        <w:rPr>
          <w:rFonts w:ascii="Arial" w:hAnsi="Arial" w:cs="Arial"/>
        </w:rPr>
        <w:t>Predseda pracovnej skupiny predstavil opatrenie a jeho delen</w:t>
      </w:r>
      <w:r w:rsidR="001E0AEC">
        <w:rPr>
          <w:rFonts w:ascii="Arial" w:hAnsi="Arial" w:cs="Arial"/>
        </w:rPr>
        <w:t>ie na centrálne obstarávanie a</w:t>
      </w:r>
      <w:r>
        <w:rPr>
          <w:rFonts w:ascii="Arial" w:hAnsi="Arial" w:cs="Arial"/>
        </w:rPr>
        <w:t xml:space="preserve"> centrálne riadenie IT</w:t>
      </w:r>
      <w:r w:rsidR="003877E1">
        <w:rPr>
          <w:rFonts w:ascii="Arial" w:hAnsi="Arial" w:cs="Arial"/>
        </w:rPr>
        <w:t xml:space="preserve"> aktív. </w:t>
      </w:r>
    </w:p>
    <w:p w14:paraId="3C3DE901" w14:textId="6E1E38AE" w:rsidR="003877E1" w:rsidRDefault="003877E1" w:rsidP="00F60497">
      <w:pPr>
        <w:tabs>
          <w:tab w:val="left" w:pos="0"/>
        </w:tabs>
        <w:jc w:val="both"/>
        <w:rPr>
          <w:rFonts w:ascii="Arial" w:hAnsi="Arial" w:cs="Arial"/>
        </w:rPr>
      </w:pPr>
      <w:r>
        <w:rPr>
          <w:rFonts w:ascii="Arial" w:hAnsi="Arial" w:cs="Arial"/>
        </w:rPr>
        <w:t xml:space="preserve">V rámci diskusie poukázala p. Kavčiaková na riziká dynamického nákupného systému (v prípade ak by sa využíval na tento účel) v podobe </w:t>
      </w:r>
      <w:r w:rsidR="001E0AEC">
        <w:rPr>
          <w:rFonts w:ascii="Arial" w:hAnsi="Arial" w:cs="Arial"/>
        </w:rPr>
        <w:t xml:space="preserve">procesu </w:t>
      </w:r>
      <w:r>
        <w:rPr>
          <w:rFonts w:ascii="Arial" w:hAnsi="Arial" w:cs="Arial"/>
        </w:rPr>
        <w:t>tzv. „deal reg“. Pán Machel v rámci diskusie poukázal v prípade cieleného výberu konkrétnych produktov a služieb konkrétnych vendorov na potenciálny problém hospodárskej súťaže, ktorý môže vzniknúť. K uvedenému sa vyjadril pán Kramár z ÚVO, pričom deklaroval, že problémom v tomto kontexte môže byť nákup nových produktov a služieb, podpora existujúcich produktov a služieb by nemal</w:t>
      </w:r>
      <w:r w:rsidR="001D30FC">
        <w:rPr>
          <w:rFonts w:ascii="Arial" w:hAnsi="Arial" w:cs="Arial"/>
        </w:rPr>
        <w:t>a</w:t>
      </w:r>
      <w:r>
        <w:rPr>
          <w:rFonts w:ascii="Arial" w:hAnsi="Arial" w:cs="Arial"/>
        </w:rPr>
        <w:t xml:space="preserve"> byť rizikovým. Predseda pracovnej skupiny reagoval na cielený výber vendorov, spôsobom, že MIRRI si uvedomuje potenciálne riziká súvisiace s hospodárskou s</w:t>
      </w:r>
      <w:r w:rsidR="00DA1383">
        <w:rPr>
          <w:rFonts w:ascii="Arial" w:hAnsi="Arial" w:cs="Arial"/>
        </w:rPr>
        <w:t xml:space="preserve">úťažou a zároveň dodal, že cieľom centralizácie je úspora finančných prostriedkov a nie konať v rozpore s hospodárskou súťažou. </w:t>
      </w:r>
    </w:p>
    <w:p w14:paraId="0F3D2898" w14:textId="5AB4882E" w:rsidR="00DA1383" w:rsidRPr="00DA1383" w:rsidRDefault="00DA1383" w:rsidP="00DA1383">
      <w:pPr>
        <w:rPr>
          <w:rFonts w:ascii="Arial" w:hAnsi="Arial" w:cs="Arial"/>
          <w:b/>
          <w:bCs/>
        </w:rPr>
      </w:pPr>
      <w:r w:rsidRPr="00DA1383">
        <w:rPr>
          <w:rFonts w:ascii="Arial" w:hAnsi="Arial" w:cs="Arial"/>
          <w:b/>
        </w:rPr>
        <w:t>Opatrenie č. 2</w:t>
      </w:r>
      <w:r w:rsidR="009E6195">
        <w:rPr>
          <w:rFonts w:ascii="Arial" w:hAnsi="Arial" w:cs="Arial"/>
          <w:b/>
        </w:rPr>
        <w:t>:</w:t>
      </w:r>
      <w:r w:rsidRPr="00DA1383">
        <w:rPr>
          <w:rFonts w:ascii="Arial" w:hAnsi="Arial" w:cs="Arial"/>
          <w:b/>
        </w:rPr>
        <w:t xml:space="preserve"> </w:t>
      </w:r>
      <w:r w:rsidRPr="00DA1383">
        <w:rPr>
          <w:rFonts w:ascii="Arial" w:hAnsi="Arial" w:cs="Arial"/>
          <w:b/>
          <w:bCs/>
        </w:rPr>
        <w:t>Vykonávanie kontroly nad vlastníctvom ISVS</w:t>
      </w:r>
    </w:p>
    <w:p w14:paraId="61E5A009" w14:textId="5DF46191" w:rsidR="00DA1383" w:rsidRDefault="00DA1383" w:rsidP="00F60497">
      <w:pPr>
        <w:tabs>
          <w:tab w:val="left" w:pos="0"/>
        </w:tabs>
        <w:jc w:val="both"/>
        <w:rPr>
          <w:rFonts w:ascii="Arial" w:hAnsi="Arial" w:cs="Arial"/>
        </w:rPr>
      </w:pPr>
      <w:r>
        <w:rPr>
          <w:rFonts w:ascii="Arial" w:hAnsi="Arial" w:cs="Arial"/>
        </w:rPr>
        <w:t>V rámci tohto opatrenia predseda pracovnej skupiny definoval záujem MIRRI dosiahnuť ideálny stav vlastníckych práv k</w:t>
      </w:r>
      <w:r w:rsidR="001D30FC">
        <w:rPr>
          <w:rFonts w:ascii="Arial" w:hAnsi="Arial" w:cs="Arial"/>
        </w:rPr>
        <w:t xml:space="preserve"> informačným systémom verejnej správy (iným </w:t>
      </w:r>
      <w:r>
        <w:rPr>
          <w:rFonts w:ascii="Arial" w:hAnsi="Arial" w:cs="Arial"/>
        </w:rPr>
        <w:t>komponentom dodávky</w:t>
      </w:r>
      <w:r w:rsidR="001D30FC">
        <w:rPr>
          <w:rFonts w:ascii="Arial" w:hAnsi="Arial" w:cs="Arial"/>
        </w:rPr>
        <w:t>)</w:t>
      </w:r>
      <w:r>
        <w:rPr>
          <w:rFonts w:ascii="Arial" w:hAnsi="Arial" w:cs="Arial"/>
        </w:rPr>
        <w:t>,</w:t>
      </w:r>
      <w:r w:rsidR="001D30FC">
        <w:rPr>
          <w:rFonts w:ascii="Arial" w:hAnsi="Arial" w:cs="Arial"/>
        </w:rPr>
        <w:t xml:space="preserve">najmä vlastnícke právo tých častí, ktoré boli dodané na zákazku a sú </w:t>
      </w:r>
      <w:r>
        <w:rPr>
          <w:rFonts w:ascii="Arial" w:hAnsi="Arial" w:cs="Arial"/>
        </w:rPr>
        <w:t>autorským</w:t>
      </w:r>
      <w:r w:rsidR="001D30FC">
        <w:rPr>
          <w:rFonts w:ascii="Arial" w:hAnsi="Arial" w:cs="Arial"/>
        </w:rPr>
        <w:t xml:space="preserve"> dielom, </w:t>
      </w:r>
      <w:r>
        <w:rPr>
          <w:rFonts w:ascii="Arial" w:hAnsi="Arial" w:cs="Arial"/>
        </w:rPr>
        <w:t xml:space="preserve">vrátane dokumentácie. </w:t>
      </w:r>
    </w:p>
    <w:p w14:paraId="494DE4DF" w14:textId="68BEF528" w:rsidR="00DA1383" w:rsidRDefault="00DA1383" w:rsidP="00F60497">
      <w:pPr>
        <w:tabs>
          <w:tab w:val="left" w:pos="0"/>
        </w:tabs>
        <w:jc w:val="both"/>
        <w:rPr>
          <w:rFonts w:ascii="Arial" w:hAnsi="Arial" w:cs="Arial"/>
        </w:rPr>
      </w:pPr>
      <w:r>
        <w:rPr>
          <w:rFonts w:ascii="Arial" w:hAnsi="Arial" w:cs="Arial"/>
        </w:rPr>
        <w:t xml:space="preserve">K uvedenej veci sa vyjadril pán Machel, ktorý poukázal na riešenie situácie prostredníctvom uznesenia Vlády SR č. 654 /2020 </w:t>
      </w:r>
      <w:r w:rsidRPr="00DA1383">
        <w:rPr>
          <w:rFonts w:ascii="Arial" w:hAnsi="Arial" w:cs="Arial"/>
        </w:rPr>
        <w:t xml:space="preserve">o </w:t>
      </w:r>
      <w:r w:rsidRPr="00DA1383">
        <w:rPr>
          <w:rFonts w:ascii="Arial" w:hAnsi="Arial" w:cs="Arial"/>
        </w:rPr>
        <w:t xml:space="preserve">návrhu Základných princípov realizácie IT projektov financovaných </w:t>
      </w:r>
      <w:r>
        <w:rPr>
          <w:rFonts w:ascii="Arial" w:hAnsi="Arial" w:cs="Arial"/>
        </w:rPr>
        <w:t>z verejných zdrojov a zdrojov EÚ (ďalej len „</w:t>
      </w:r>
      <w:r w:rsidRPr="00DA1383">
        <w:rPr>
          <w:rFonts w:ascii="Arial" w:hAnsi="Arial" w:cs="Arial"/>
          <w:b/>
          <w:i/>
        </w:rPr>
        <w:t>Uznesenie</w:t>
      </w:r>
      <w:r>
        <w:rPr>
          <w:rFonts w:ascii="Arial" w:hAnsi="Arial" w:cs="Arial"/>
        </w:rPr>
        <w:t xml:space="preserve">“). K uvedenému sa </w:t>
      </w:r>
      <w:r w:rsidR="001D30FC">
        <w:rPr>
          <w:rFonts w:ascii="Arial" w:hAnsi="Arial" w:cs="Arial"/>
        </w:rPr>
        <w:t xml:space="preserve">tiež </w:t>
      </w:r>
      <w:r>
        <w:rPr>
          <w:rFonts w:ascii="Arial" w:hAnsi="Arial" w:cs="Arial"/>
        </w:rPr>
        <w:t xml:space="preserve">vyjadril pán Kulich zo slovensko.digital, ktorý odporučil doplniť aplikáciu riešenia aj na existujúce informačné systémy verejnej správy, v ktorých </w:t>
      </w:r>
      <w:r w:rsidR="00DE2243">
        <w:rPr>
          <w:rFonts w:ascii="Arial" w:hAnsi="Arial" w:cs="Arial"/>
        </w:rPr>
        <w:t>„</w:t>
      </w:r>
      <w:r>
        <w:rPr>
          <w:rFonts w:ascii="Arial" w:hAnsi="Arial" w:cs="Arial"/>
        </w:rPr>
        <w:t>vendor lock in</w:t>
      </w:r>
      <w:r w:rsidR="00DE2243">
        <w:rPr>
          <w:rFonts w:ascii="Arial" w:hAnsi="Arial" w:cs="Arial"/>
        </w:rPr>
        <w:t>“</w:t>
      </w:r>
      <w:r w:rsidR="001D30FC">
        <w:rPr>
          <w:rFonts w:ascii="Arial" w:hAnsi="Arial" w:cs="Arial"/>
        </w:rPr>
        <w:t xml:space="preserve"> vznikol a je zakonzervovaný</w:t>
      </w:r>
      <w:r>
        <w:rPr>
          <w:rFonts w:ascii="Arial" w:hAnsi="Arial" w:cs="Arial"/>
        </w:rPr>
        <w:t xml:space="preserve"> </w:t>
      </w:r>
      <w:r w:rsidR="00E806CE">
        <w:rPr>
          <w:rFonts w:ascii="Arial" w:hAnsi="Arial" w:cs="Arial"/>
        </w:rPr>
        <w:t xml:space="preserve">Pán Machel vo vzťahu k tejto aktivite deklaroval, že je spôsobilý ponúknuť odborné kapacity. </w:t>
      </w:r>
    </w:p>
    <w:p w14:paraId="3E6A21FA" w14:textId="15E4F70C" w:rsidR="00F60497" w:rsidRPr="00D55A5A" w:rsidRDefault="00D55A5A" w:rsidP="00F60497">
      <w:pPr>
        <w:tabs>
          <w:tab w:val="left" w:pos="0"/>
        </w:tabs>
        <w:jc w:val="both"/>
        <w:rPr>
          <w:rFonts w:ascii="Arial" w:hAnsi="Arial" w:cs="Arial"/>
          <w:b/>
        </w:rPr>
      </w:pPr>
      <w:r w:rsidRPr="00D55A5A">
        <w:rPr>
          <w:rFonts w:ascii="Arial" w:hAnsi="Arial" w:cs="Arial"/>
          <w:b/>
        </w:rPr>
        <w:t>Opatrenie č. 3</w:t>
      </w:r>
      <w:r w:rsidR="009E6195">
        <w:rPr>
          <w:rFonts w:ascii="Arial" w:hAnsi="Arial" w:cs="Arial"/>
          <w:b/>
        </w:rPr>
        <w:t>:</w:t>
      </w:r>
      <w:r w:rsidRPr="00D55A5A">
        <w:rPr>
          <w:rFonts w:ascii="Arial" w:hAnsi="Arial" w:cs="Arial"/>
          <w:b/>
        </w:rPr>
        <w:t xml:space="preserve"> </w:t>
      </w:r>
      <w:r w:rsidRPr="00D55A5A">
        <w:rPr>
          <w:rFonts w:ascii="Arial" w:hAnsi="Arial" w:cs="Arial"/>
          <w:b/>
          <w:bCs/>
        </w:rPr>
        <w:t>Vzdelávanie v rámci verejného obstarávania IT</w:t>
      </w:r>
    </w:p>
    <w:p w14:paraId="074E8882" w14:textId="1E775958" w:rsidR="00D55A5A" w:rsidRDefault="00D55A5A" w:rsidP="005912D6">
      <w:pPr>
        <w:pStyle w:val="Odsekzoznamu"/>
        <w:ind w:left="0"/>
        <w:jc w:val="both"/>
        <w:rPr>
          <w:rFonts w:ascii="Arial" w:hAnsi="Arial" w:cs="Arial"/>
        </w:rPr>
      </w:pPr>
      <w:r w:rsidRPr="00D55A5A">
        <w:rPr>
          <w:rFonts w:ascii="Arial" w:hAnsi="Arial" w:cs="Arial"/>
        </w:rPr>
        <w:t xml:space="preserve">Predseda pracovnej skupiny identifikoval dané opatrenie z pohľadu potreby osvety vo verejnom obstarávaní IT za účelom zvýšenia povedomia </w:t>
      </w:r>
      <w:r>
        <w:rPr>
          <w:rFonts w:ascii="Arial" w:hAnsi="Arial" w:cs="Arial"/>
        </w:rPr>
        <w:t xml:space="preserve">v obstaraní IT. </w:t>
      </w:r>
    </w:p>
    <w:p w14:paraId="63AB36CB" w14:textId="2205815E" w:rsidR="005848A7" w:rsidRDefault="005848A7" w:rsidP="005912D6">
      <w:pPr>
        <w:pStyle w:val="Odsekzoznamu"/>
        <w:ind w:left="0"/>
        <w:jc w:val="both"/>
        <w:rPr>
          <w:rFonts w:ascii="Arial" w:hAnsi="Arial" w:cs="Arial"/>
        </w:rPr>
      </w:pPr>
    </w:p>
    <w:p w14:paraId="4840BFA6" w14:textId="1AD96D38" w:rsidR="005848A7" w:rsidRDefault="005848A7" w:rsidP="005912D6">
      <w:pPr>
        <w:pStyle w:val="Odsekzoznamu"/>
        <w:ind w:left="0"/>
        <w:jc w:val="both"/>
        <w:rPr>
          <w:rFonts w:ascii="Arial" w:hAnsi="Arial" w:cs="Arial"/>
        </w:rPr>
      </w:pPr>
      <w:r>
        <w:rPr>
          <w:rFonts w:ascii="Arial" w:hAnsi="Arial" w:cs="Arial"/>
        </w:rPr>
        <w:t xml:space="preserve">Pán Majchrák za ÚVO privítal osvetu v tejto oblasti, pričom deklaroval súčinnosť v prípade </w:t>
      </w:r>
      <w:r w:rsidR="00940C5B">
        <w:rPr>
          <w:rFonts w:ascii="Arial" w:hAnsi="Arial" w:cs="Arial"/>
        </w:rPr>
        <w:t xml:space="preserve">potreby ale za predpokladu, že bude mať k dispozícii ľudské zdroje. Pán Kulich sa vyjadril k predmetnému, kde vidí význam vo vzdelávaní navonok k IT trhu, zároveň uviedol že text je príliš všeobecný. Pán Nechala sa vyjadril k danej priorite,  v zmysle že chápe potrebu danej aktivity, ktorá by nemala ostať na pleciach ÚVO. Zároveň doplnil, že merateľný ukazovateľ „10 konferencií/sympózií/okrúhlych stolov“ do roku 2026 je málo. Pán Raučina za SIS doplnil, že vo vzťahu k uvedenému opatreniu je možné vychádzať z koncepcie ľudských zdrojov, ktorá je schválená. Zároveň navrhol zamyslieť sa nad vytvorením „centra </w:t>
      </w:r>
      <w:r w:rsidR="00E806CE">
        <w:rPr>
          <w:rFonts w:ascii="Arial" w:hAnsi="Arial" w:cs="Arial"/>
        </w:rPr>
        <w:t>pre osvetu“, ktoré účelom by bolo vytváranie metodiky a dokumentácie v tejto oblasti. Uvedené by si samozrejme vyžiadalo posilniť personálne kapacity. Pán Kramár z ÚVO dal do pozornosti, že osveta musí korešpondovať s metodikou ÚVO vrátane jeho rozhodovacej praxe</w:t>
      </w:r>
      <w:r w:rsidR="008903F8">
        <w:rPr>
          <w:rFonts w:ascii="Arial" w:hAnsi="Arial" w:cs="Arial"/>
        </w:rPr>
        <w:t>. Zároveň odporučil využiť „e-learning“, ktorý slúži pre VO v rámci EŠIF, ale mohol by poslúžiť v rámci tohto opatrenia.  Pán Kubinec z MVSR vyjadril podporu danému opatreniu a zároveň povedal, že začať je možné s tému „opis predmetu zákazky“, keďže aj tu vníma v rámci štátnej správy nedostatky.</w:t>
      </w:r>
    </w:p>
    <w:p w14:paraId="223FBC83" w14:textId="3B75E785" w:rsidR="008903F8" w:rsidRDefault="008903F8" w:rsidP="005912D6">
      <w:pPr>
        <w:pStyle w:val="Odsekzoznamu"/>
        <w:ind w:left="0"/>
        <w:jc w:val="both"/>
        <w:rPr>
          <w:rFonts w:ascii="Arial" w:hAnsi="Arial" w:cs="Arial"/>
        </w:rPr>
      </w:pPr>
    </w:p>
    <w:p w14:paraId="353FB541" w14:textId="00E344E4" w:rsidR="008903F8" w:rsidRPr="009E6195" w:rsidRDefault="008903F8" w:rsidP="005912D6">
      <w:pPr>
        <w:pStyle w:val="Odsekzoznamu"/>
        <w:ind w:left="0"/>
        <w:jc w:val="both"/>
        <w:rPr>
          <w:rFonts w:ascii="Arial" w:hAnsi="Arial" w:cs="Arial"/>
          <w:b/>
        </w:rPr>
      </w:pPr>
      <w:r w:rsidRPr="009E6195">
        <w:rPr>
          <w:rFonts w:ascii="Arial" w:hAnsi="Arial" w:cs="Arial"/>
          <w:b/>
        </w:rPr>
        <w:t>Opatrenie 4</w:t>
      </w:r>
      <w:r w:rsidR="009E6195">
        <w:rPr>
          <w:rFonts w:ascii="Arial" w:hAnsi="Arial" w:cs="Arial"/>
          <w:b/>
        </w:rPr>
        <w:t xml:space="preserve">: </w:t>
      </w:r>
      <w:r w:rsidR="009E6195" w:rsidRPr="009E6195">
        <w:rPr>
          <w:rFonts w:ascii="Arial" w:hAnsi="Arial" w:cs="Arial"/>
          <w:b/>
          <w:bCs/>
        </w:rPr>
        <w:t>Využívanie znalostnej databázy vo verejnom obstarávaní IT</w:t>
      </w:r>
    </w:p>
    <w:p w14:paraId="0F1E7627" w14:textId="448F86B3" w:rsidR="00D55A5A" w:rsidRDefault="00D55A5A" w:rsidP="005912D6">
      <w:pPr>
        <w:pStyle w:val="Odsekzoznamu"/>
        <w:ind w:left="0"/>
        <w:jc w:val="both"/>
        <w:rPr>
          <w:rFonts w:ascii="Arial" w:hAnsi="Arial" w:cs="Arial"/>
          <w:b/>
        </w:rPr>
      </w:pPr>
    </w:p>
    <w:p w14:paraId="512F67D4" w14:textId="7A600AAA" w:rsidR="009E6195" w:rsidRPr="0027058B" w:rsidRDefault="009E6195" w:rsidP="005912D6">
      <w:pPr>
        <w:pStyle w:val="Odsekzoznamu"/>
        <w:ind w:left="0"/>
        <w:jc w:val="both"/>
        <w:rPr>
          <w:rFonts w:ascii="Arial" w:hAnsi="Arial" w:cs="Arial"/>
          <w:sz w:val="20"/>
          <w:szCs w:val="20"/>
        </w:rPr>
      </w:pPr>
      <w:r w:rsidRPr="009E6195">
        <w:rPr>
          <w:rFonts w:ascii="Arial" w:hAnsi="Arial" w:cs="Arial"/>
        </w:rPr>
        <w:t>Predseda pracovnej skupiny predstavil účel opatrenia, ktoré veľmi úzko súvisí s opatrením č. 3</w:t>
      </w:r>
      <w:r>
        <w:rPr>
          <w:rFonts w:ascii="Arial" w:hAnsi="Arial" w:cs="Arial"/>
        </w:rPr>
        <w:t xml:space="preserve">. Deklaroval vôľu vychádzať z niečoho ako je </w:t>
      </w:r>
      <w:r w:rsidRPr="0027058B">
        <w:rPr>
          <w:rFonts w:ascii="Arial" w:hAnsi="Arial" w:cs="Arial"/>
          <w:u w:val="single"/>
        </w:rPr>
        <w:t>www.digitalbuyingguide.org/en/</w:t>
      </w:r>
      <w:r>
        <w:rPr>
          <w:rFonts w:ascii="Arial" w:hAnsi="Arial" w:cs="Arial"/>
        </w:rPr>
        <w:t xml:space="preserve">. </w:t>
      </w:r>
      <w:r w:rsidR="0027058B">
        <w:rPr>
          <w:rFonts w:ascii="Arial" w:hAnsi="Arial" w:cs="Arial"/>
        </w:rPr>
        <w:t xml:space="preserve">Pán Kubinec z MVSR ocenil aktivitu a odporučil ako inšpiráciu tiež Austráliu </w:t>
      </w:r>
      <w:hyperlink r:id="rId10" w:tooltip="https://www.buyingfor.vic.gov.au/" w:history="1">
        <w:r w:rsidR="0027058B" w:rsidRPr="001D30FC">
          <w:rPr>
            <w:rStyle w:val="Hypertextovprepojenie"/>
            <w:rFonts w:ascii="Arial" w:eastAsiaTheme="majorEastAsia" w:hAnsi="Arial" w:cs="Arial"/>
          </w:rPr>
          <w:t>https://www.buyingfor.vic.gov.au/</w:t>
        </w:r>
      </w:hyperlink>
      <w:r w:rsidR="0027058B" w:rsidRPr="001D30FC">
        <w:rPr>
          <w:rStyle w:val="Hypertextovprepojenie"/>
          <w:rFonts w:ascii="Arial" w:eastAsiaTheme="majorEastAsia" w:hAnsi="Arial" w:cs="Arial"/>
        </w:rPr>
        <w:t>.</w:t>
      </w:r>
      <w:r w:rsidR="0027058B">
        <w:rPr>
          <w:rStyle w:val="Hypertextovprepojenie"/>
          <w:rFonts w:ascii="Arial" w:eastAsiaTheme="majorEastAsia" w:hAnsi="Arial" w:cs="Arial"/>
          <w:sz w:val="20"/>
          <w:szCs w:val="20"/>
        </w:rPr>
        <w:t xml:space="preserve"> </w:t>
      </w:r>
      <w:r w:rsidR="0027058B" w:rsidRPr="0027058B">
        <w:rPr>
          <w:rStyle w:val="Hypertextovprepojenie"/>
          <w:rFonts w:ascii="Arial" w:eastAsiaTheme="majorEastAsia" w:hAnsi="Arial" w:cs="Arial"/>
          <w:color w:val="000000" w:themeColor="text1"/>
          <w:u w:val="none"/>
        </w:rPr>
        <w:t>Pán Kramár z ÚVO tiež uviedol, že je nevyhnutné v rámci opatrenia č. 3 a 4 klásť dôraz na vecnú špecifikáciu v rámci VO.</w:t>
      </w:r>
      <w:r w:rsidR="0027058B" w:rsidRPr="0027058B">
        <w:rPr>
          <w:rStyle w:val="Hypertextovprepojenie"/>
          <w:rFonts w:ascii="Arial" w:eastAsiaTheme="majorEastAsia" w:hAnsi="Arial" w:cs="Arial"/>
          <w:sz w:val="20"/>
          <w:szCs w:val="20"/>
        </w:rPr>
        <w:t xml:space="preserve"> </w:t>
      </w:r>
    </w:p>
    <w:p w14:paraId="1F57BCC9" w14:textId="77777777" w:rsidR="00D55A5A" w:rsidRDefault="00D55A5A" w:rsidP="005912D6">
      <w:pPr>
        <w:pStyle w:val="Odsekzoznamu"/>
        <w:ind w:left="0"/>
        <w:jc w:val="both"/>
        <w:rPr>
          <w:rFonts w:ascii="Arial" w:hAnsi="Arial" w:cs="Arial"/>
          <w:b/>
        </w:rPr>
      </w:pPr>
    </w:p>
    <w:p w14:paraId="62E9AD07" w14:textId="08B4AC48" w:rsidR="008E476D" w:rsidRPr="0027058B" w:rsidRDefault="0027058B" w:rsidP="0027058B">
      <w:pPr>
        <w:ind w:left="1416" w:hanging="1416"/>
        <w:rPr>
          <w:rFonts w:ascii="Arial" w:hAnsi="Arial" w:cs="Arial"/>
          <w:b/>
          <w:bCs/>
        </w:rPr>
      </w:pPr>
      <w:r w:rsidRPr="0027058B">
        <w:rPr>
          <w:rFonts w:ascii="Arial" w:hAnsi="Arial" w:cs="Arial"/>
          <w:b/>
        </w:rPr>
        <w:t xml:space="preserve">Opatrenie </w:t>
      </w:r>
      <w:r w:rsidRPr="0027058B">
        <w:rPr>
          <w:rFonts w:ascii="Arial" w:hAnsi="Arial" w:cs="Arial"/>
          <w:b/>
        </w:rPr>
        <w:t>5</w:t>
      </w:r>
      <w:r w:rsidRPr="0027058B">
        <w:rPr>
          <w:rFonts w:ascii="Arial" w:hAnsi="Arial" w:cs="Arial"/>
          <w:b/>
        </w:rPr>
        <w:t xml:space="preserve">: </w:t>
      </w:r>
      <w:r w:rsidRPr="0027058B">
        <w:rPr>
          <w:rFonts w:ascii="Arial" w:hAnsi="Arial" w:cs="Arial"/>
          <w:b/>
          <w:bCs/>
        </w:rPr>
        <w:t xml:space="preserve">Implementovanie nových riešení a metód vo verejnom obstarávaní </w:t>
      </w:r>
      <w:r w:rsidRPr="0027058B">
        <w:rPr>
          <w:rFonts w:ascii="Arial" w:hAnsi="Arial" w:cs="Arial"/>
          <w:b/>
          <w:bCs/>
        </w:rPr>
        <w:t xml:space="preserve">pri </w:t>
      </w:r>
      <w:r w:rsidRPr="0027058B">
        <w:rPr>
          <w:rFonts w:ascii="Arial" w:hAnsi="Arial" w:cs="Arial"/>
          <w:b/>
          <w:bCs/>
        </w:rPr>
        <w:t>implementácii</w:t>
      </w:r>
    </w:p>
    <w:p w14:paraId="2CDB2625" w14:textId="43CB7488" w:rsidR="008E476D" w:rsidRPr="008E476D" w:rsidRDefault="0027058B" w:rsidP="008E476D">
      <w:pPr>
        <w:tabs>
          <w:tab w:val="left" w:pos="426"/>
          <w:tab w:val="left" w:pos="567"/>
        </w:tabs>
        <w:jc w:val="both"/>
        <w:rPr>
          <w:rFonts w:ascii="Arial" w:hAnsi="Arial" w:cs="Arial"/>
        </w:rPr>
      </w:pPr>
      <w:r>
        <w:rPr>
          <w:rFonts w:ascii="Arial" w:hAnsi="Arial" w:cs="Arial"/>
        </w:rPr>
        <w:t>Predseda pracovnej skupiny uviedol k poslednému opatreniu  myšlienku, ktorá bola za daným opatrením. Uvedeným opatrením by prostredníctvom čiastkových iniciatív bola realizovaná kvalita vo verejnom obstarávaní. Pán Kulich za slovensko.digital na záver uviedol, že navrhuje ako samostatné opatrenie doplniť „verejné obstarávanie cloudových služieb“. Záverom uviedol, že podľa jeho názoru chýba v celom texte NKIVS ref</w:t>
      </w:r>
      <w:r w:rsidR="009C5FDD">
        <w:rPr>
          <w:rFonts w:ascii="Arial" w:hAnsi="Arial" w:cs="Arial"/>
        </w:rPr>
        <w:t>lexia medzi kapi</w:t>
      </w:r>
      <w:r w:rsidR="001D30FC">
        <w:rPr>
          <w:rFonts w:ascii="Arial" w:hAnsi="Arial" w:cs="Arial"/>
        </w:rPr>
        <w:t>tolami navzájom, čo bude zdôrazňova</w:t>
      </w:r>
      <w:r w:rsidR="009C5FDD">
        <w:rPr>
          <w:rFonts w:ascii="Arial" w:hAnsi="Arial" w:cs="Arial"/>
        </w:rPr>
        <w:t>ť aj v rámci ostatných pracovných skupín.</w:t>
      </w:r>
    </w:p>
    <w:p w14:paraId="37DE59AC" w14:textId="27F9C06D" w:rsidR="001F02FE" w:rsidRDefault="00662819" w:rsidP="005912D6">
      <w:pPr>
        <w:pStyle w:val="Odsekzoznamu"/>
        <w:ind w:left="0"/>
        <w:jc w:val="both"/>
        <w:rPr>
          <w:rFonts w:ascii="Arial" w:hAnsi="Arial" w:cs="Arial"/>
        </w:rPr>
      </w:pPr>
      <w:r w:rsidRPr="005912D6">
        <w:rPr>
          <w:rFonts w:ascii="Arial" w:hAnsi="Arial" w:cs="Arial"/>
          <w:b/>
        </w:rPr>
        <w:t>Záve</w:t>
      </w:r>
      <w:r w:rsidR="001F02FE" w:rsidRPr="005912D6">
        <w:rPr>
          <w:rFonts w:ascii="Arial" w:hAnsi="Arial" w:cs="Arial"/>
        </w:rPr>
        <w:t>r</w:t>
      </w:r>
      <w:r w:rsidRPr="005912D6">
        <w:rPr>
          <w:rFonts w:ascii="Arial" w:hAnsi="Arial" w:cs="Arial"/>
        </w:rPr>
        <w:t xml:space="preserve"> </w:t>
      </w:r>
    </w:p>
    <w:p w14:paraId="3357D118" w14:textId="77777777" w:rsidR="00E55A72" w:rsidRPr="005912D6" w:rsidRDefault="00E55A72" w:rsidP="005912D6">
      <w:pPr>
        <w:pStyle w:val="Odsekzoznamu"/>
        <w:ind w:left="0"/>
        <w:jc w:val="both"/>
        <w:rPr>
          <w:rFonts w:ascii="Arial" w:hAnsi="Arial" w:cs="Arial"/>
        </w:rPr>
      </w:pPr>
    </w:p>
    <w:p w14:paraId="720F8757" w14:textId="07AC83F5" w:rsidR="00890E8C" w:rsidRPr="001D30FC" w:rsidRDefault="004B2370" w:rsidP="001D30FC">
      <w:pPr>
        <w:pStyle w:val="Odsekzoznamu"/>
        <w:ind w:left="0"/>
        <w:jc w:val="both"/>
        <w:rPr>
          <w:rFonts w:ascii="Arial" w:hAnsi="Arial" w:cs="Arial"/>
        </w:rPr>
      </w:pPr>
      <w:r w:rsidRPr="005912D6">
        <w:rPr>
          <w:rFonts w:ascii="Arial" w:hAnsi="Arial" w:cs="Arial"/>
        </w:rPr>
        <w:t>Predseda pracovnej skupiny konštatoval, že témy na diskusiu boli vyčerpané</w:t>
      </w:r>
      <w:r w:rsidR="005912D6">
        <w:rPr>
          <w:rFonts w:ascii="Arial" w:hAnsi="Arial" w:cs="Arial"/>
        </w:rPr>
        <w:t xml:space="preserve">, zároveň sa </w:t>
      </w:r>
      <w:r w:rsidRPr="005912D6">
        <w:rPr>
          <w:rFonts w:ascii="Arial" w:hAnsi="Arial" w:cs="Arial"/>
        </w:rPr>
        <w:t>členom pracovnej skupiny a účastníkom</w:t>
      </w:r>
      <w:r w:rsidR="00EE5897">
        <w:rPr>
          <w:rFonts w:ascii="Arial" w:hAnsi="Arial" w:cs="Arial"/>
        </w:rPr>
        <w:t xml:space="preserve"> </w:t>
      </w:r>
      <w:r w:rsidR="00EA199B">
        <w:rPr>
          <w:rFonts w:ascii="Arial" w:hAnsi="Arial" w:cs="Arial"/>
        </w:rPr>
        <w:t>zasadnutia poďakoval za vstupy a opätovne vyzval na zaslanie konkrétnych pripomienok k jednotlivým častiam do 12.04.2021</w:t>
      </w:r>
      <w:r w:rsidR="001D30FC">
        <w:rPr>
          <w:rFonts w:ascii="Arial" w:hAnsi="Arial" w:cs="Arial"/>
        </w:rPr>
        <w:t xml:space="preserve">. </w:t>
      </w:r>
    </w:p>
    <w:sectPr w:rsidR="00890E8C" w:rsidRPr="001D30FC" w:rsidSect="005912D6">
      <w:footerReference w:type="default" r:id="rId11"/>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19B6BA" w14:textId="77777777" w:rsidR="002E4F14" w:rsidRDefault="002E4F14" w:rsidP="00693ED0">
      <w:pPr>
        <w:spacing w:after="0" w:line="240" w:lineRule="auto"/>
      </w:pPr>
      <w:r>
        <w:separator/>
      </w:r>
    </w:p>
  </w:endnote>
  <w:endnote w:type="continuationSeparator" w:id="0">
    <w:p w14:paraId="62A31E28" w14:textId="77777777" w:rsidR="002E4F14" w:rsidRDefault="002E4F14" w:rsidP="00693E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1821156"/>
      <w:docPartObj>
        <w:docPartGallery w:val="Page Numbers (Bottom of Page)"/>
        <w:docPartUnique/>
      </w:docPartObj>
    </w:sdtPr>
    <w:sdtEndPr>
      <w:rPr>
        <w:rFonts w:ascii="Arial" w:hAnsi="Arial" w:cs="Arial"/>
        <w:sz w:val="20"/>
        <w:szCs w:val="20"/>
      </w:rPr>
    </w:sdtEndPr>
    <w:sdtContent>
      <w:p w14:paraId="64C575F6" w14:textId="74A1425B" w:rsidR="00693ED0" w:rsidRPr="001F02FE" w:rsidRDefault="00693ED0">
        <w:pPr>
          <w:pStyle w:val="Pta"/>
          <w:jc w:val="center"/>
          <w:rPr>
            <w:rFonts w:ascii="Arial" w:hAnsi="Arial" w:cs="Arial"/>
            <w:sz w:val="20"/>
            <w:szCs w:val="20"/>
          </w:rPr>
        </w:pPr>
        <w:r w:rsidRPr="001F02FE">
          <w:rPr>
            <w:rFonts w:ascii="Arial" w:hAnsi="Arial" w:cs="Arial"/>
            <w:sz w:val="20"/>
            <w:szCs w:val="20"/>
          </w:rPr>
          <w:fldChar w:fldCharType="begin"/>
        </w:r>
        <w:r w:rsidRPr="001F02FE">
          <w:rPr>
            <w:rFonts w:ascii="Arial" w:hAnsi="Arial" w:cs="Arial"/>
            <w:sz w:val="20"/>
            <w:szCs w:val="20"/>
          </w:rPr>
          <w:instrText>PAGE   \* MERGEFORMAT</w:instrText>
        </w:r>
        <w:r w:rsidRPr="001F02FE">
          <w:rPr>
            <w:rFonts w:ascii="Arial" w:hAnsi="Arial" w:cs="Arial"/>
            <w:sz w:val="20"/>
            <w:szCs w:val="20"/>
          </w:rPr>
          <w:fldChar w:fldCharType="separate"/>
        </w:r>
        <w:r w:rsidR="000606C4">
          <w:rPr>
            <w:rFonts w:ascii="Arial" w:hAnsi="Arial" w:cs="Arial"/>
            <w:noProof/>
            <w:sz w:val="20"/>
            <w:szCs w:val="20"/>
          </w:rPr>
          <w:t>1</w:t>
        </w:r>
        <w:r w:rsidRPr="001F02FE">
          <w:rPr>
            <w:rFonts w:ascii="Arial" w:hAnsi="Arial" w:cs="Arial"/>
            <w:sz w:val="20"/>
            <w:szCs w:val="20"/>
          </w:rPr>
          <w:fldChar w:fldCharType="end"/>
        </w:r>
      </w:p>
    </w:sdtContent>
  </w:sdt>
  <w:p w14:paraId="72370C17" w14:textId="77777777" w:rsidR="00693ED0" w:rsidRDefault="00693ED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CD782A" w14:textId="77777777" w:rsidR="002E4F14" w:rsidRDefault="002E4F14" w:rsidP="00693ED0">
      <w:pPr>
        <w:spacing w:after="0" w:line="240" w:lineRule="auto"/>
      </w:pPr>
      <w:r>
        <w:separator/>
      </w:r>
    </w:p>
  </w:footnote>
  <w:footnote w:type="continuationSeparator" w:id="0">
    <w:p w14:paraId="71684E80" w14:textId="77777777" w:rsidR="002E4F14" w:rsidRDefault="002E4F14" w:rsidP="00693E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FB320E"/>
    <w:multiLevelType w:val="hybridMultilevel"/>
    <w:tmpl w:val="0024A138"/>
    <w:lvl w:ilvl="0" w:tplc="313E69EC">
      <w:start w:val="817"/>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E2905B4"/>
    <w:multiLevelType w:val="hybridMultilevel"/>
    <w:tmpl w:val="790AFF22"/>
    <w:lvl w:ilvl="0" w:tplc="663A299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CBE75CC"/>
    <w:multiLevelType w:val="hybridMultilevel"/>
    <w:tmpl w:val="94D07074"/>
    <w:lvl w:ilvl="0" w:tplc="8188DDAC">
      <w:start w:val="1"/>
      <w:numFmt w:val="lowerLetter"/>
      <w:lvlText w:val="%1)"/>
      <w:lvlJc w:val="left"/>
      <w:pPr>
        <w:ind w:left="644" w:hanging="360"/>
      </w:pPr>
      <w:rPr>
        <w:rFonts w:hint="default"/>
        <w:b/>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 w15:restartNumberingAfterBreak="0">
    <w:nsid w:val="3DE65776"/>
    <w:multiLevelType w:val="hybridMultilevel"/>
    <w:tmpl w:val="13D2CB9C"/>
    <w:lvl w:ilvl="0" w:tplc="694E3EF2">
      <w:start w:val="2"/>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 w15:restartNumberingAfterBreak="0">
    <w:nsid w:val="524617BC"/>
    <w:multiLevelType w:val="hybridMultilevel"/>
    <w:tmpl w:val="9C9EFE3E"/>
    <w:lvl w:ilvl="0" w:tplc="FE4674A6">
      <w:start w:val="1"/>
      <w:numFmt w:val="bullet"/>
      <w:lvlText w:val="-"/>
      <w:lvlJc w:val="left"/>
      <w:pPr>
        <w:ind w:left="1004" w:hanging="360"/>
      </w:pPr>
      <w:rPr>
        <w:rFonts w:ascii="Calibri" w:eastAsiaTheme="minorHAnsi" w:hAnsi="Calibri" w:cs="Calibri" w:hint="default"/>
        <w:b w:val="0"/>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 w15:restartNumberingAfterBreak="0">
    <w:nsid w:val="59F24F93"/>
    <w:multiLevelType w:val="hybridMultilevel"/>
    <w:tmpl w:val="09D6B814"/>
    <w:lvl w:ilvl="0" w:tplc="87764C36">
      <w:start w:val="2"/>
      <w:numFmt w:val="bullet"/>
      <w:lvlText w:val="-"/>
      <w:lvlJc w:val="left"/>
      <w:pPr>
        <w:ind w:left="1068" w:hanging="360"/>
      </w:pPr>
      <w:rPr>
        <w:rFonts w:ascii="Calibri" w:eastAsiaTheme="minorHAnsi" w:hAnsi="Calibri" w:cs="Calibri" w:hint="default"/>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6" w15:restartNumberingAfterBreak="0">
    <w:nsid w:val="5C8651A6"/>
    <w:multiLevelType w:val="hybridMultilevel"/>
    <w:tmpl w:val="3362A60A"/>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75E9398D"/>
    <w:multiLevelType w:val="hybridMultilevel"/>
    <w:tmpl w:val="D0AA8A3C"/>
    <w:lvl w:ilvl="0" w:tplc="8CB476D8">
      <w:start w:val="1"/>
      <w:numFmt w:val="lowerLetter"/>
      <w:lvlText w:val="%1)"/>
      <w:lvlJc w:val="left"/>
      <w:pPr>
        <w:ind w:left="642" w:hanging="360"/>
      </w:pPr>
      <w:rPr>
        <w:rFonts w:hint="default"/>
        <w:b/>
      </w:rPr>
    </w:lvl>
    <w:lvl w:ilvl="1" w:tplc="041B0019" w:tentative="1">
      <w:start w:val="1"/>
      <w:numFmt w:val="lowerLetter"/>
      <w:lvlText w:val="%2."/>
      <w:lvlJc w:val="left"/>
      <w:pPr>
        <w:ind w:left="1362" w:hanging="360"/>
      </w:pPr>
    </w:lvl>
    <w:lvl w:ilvl="2" w:tplc="041B001B" w:tentative="1">
      <w:start w:val="1"/>
      <w:numFmt w:val="lowerRoman"/>
      <w:lvlText w:val="%3."/>
      <w:lvlJc w:val="right"/>
      <w:pPr>
        <w:ind w:left="2082" w:hanging="180"/>
      </w:pPr>
    </w:lvl>
    <w:lvl w:ilvl="3" w:tplc="041B000F" w:tentative="1">
      <w:start w:val="1"/>
      <w:numFmt w:val="decimal"/>
      <w:lvlText w:val="%4."/>
      <w:lvlJc w:val="left"/>
      <w:pPr>
        <w:ind w:left="2802" w:hanging="360"/>
      </w:pPr>
    </w:lvl>
    <w:lvl w:ilvl="4" w:tplc="041B0019" w:tentative="1">
      <w:start w:val="1"/>
      <w:numFmt w:val="lowerLetter"/>
      <w:lvlText w:val="%5."/>
      <w:lvlJc w:val="left"/>
      <w:pPr>
        <w:ind w:left="3522" w:hanging="360"/>
      </w:pPr>
    </w:lvl>
    <w:lvl w:ilvl="5" w:tplc="041B001B" w:tentative="1">
      <w:start w:val="1"/>
      <w:numFmt w:val="lowerRoman"/>
      <w:lvlText w:val="%6."/>
      <w:lvlJc w:val="right"/>
      <w:pPr>
        <w:ind w:left="4242" w:hanging="180"/>
      </w:pPr>
    </w:lvl>
    <w:lvl w:ilvl="6" w:tplc="041B000F" w:tentative="1">
      <w:start w:val="1"/>
      <w:numFmt w:val="decimal"/>
      <w:lvlText w:val="%7."/>
      <w:lvlJc w:val="left"/>
      <w:pPr>
        <w:ind w:left="4962" w:hanging="360"/>
      </w:pPr>
    </w:lvl>
    <w:lvl w:ilvl="7" w:tplc="041B0019" w:tentative="1">
      <w:start w:val="1"/>
      <w:numFmt w:val="lowerLetter"/>
      <w:lvlText w:val="%8."/>
      <w:lvlJc w:val="left"/>
      <w:pPr>
        <w:ind w:left="5682" w:hanging="360"/>
      </w:pPr>
    </w:lvl>
    <w:lvl w:ilvl="8" w:tplc="041B001B" w:tentative="1">
      <w:start w:val="1"/>
      <w:numFmt w:val="lowerRoman"/>
      <w:lvlText w:val="%9."/>
      <w:lvlJc w:val="right"/>
      <w:pPr>
        <w:ind w:left="6402" w:hanging="180"/>
      </w:pPr>
    </w:lvl>
  </w:abstractNum>
  <w:num w:numId="1">
    <w:abstractNumId w:val="6"/>
  </w:num>
  <w:num w:numId="2">
    <w:abstractNumId w:val="1"/>
  </w:num>
  <w:num w:numId="3">
    <w:abstractNumId w:val="2"/>
  </w:num>
  <w:num w:numId="4">
    <w:abstractNumId w:val="4"/>
  </w:num>
  <w:num w:numId="5">
    <w:abstractNumId w:val="5"/>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38B"/>
    <w:rsid w:val="00022FB7"/>
    <w:rsid w:val="00044C55"/>
    <w:rsid w:val="000606C4"/>
    <w:rsid w:val="00065803"/>
    <w:rsid w:val="000E1EBF"/>
    <w:rsid w:val="000E3EE1"/>
    <w:rsid w:val="00177AB1"/>
    <w:rsid w:val="001D30FC"/>
    <w:rsid w:val="001E0AEC"/>
    <w:rsid w:val="001E5328"/>
    <w:rsid w:val="001F02FE"/>
    <w:rsid w:val="00227515"/>
    <w:rsid w:val="0027058B"/>
    <w:rsid w:val="00272BFD"/>
    <w:rsid w:val="002E4F14"/>
    <w:rsid w:val="002F0A06"/>
    <w:rsid w:val="002F6D92"/>
    <w:rsid w:val="00376CF7"/>
    <w:rsid w:val="00384160"/>
    <w:rsid w:val="003877E1"/>
    <w:rsid w:val="00390EE2"/>
    <w:rsid w:val="003E400D"/>
    <w:rsid w:val="00425B1C"/>
    <w:rsid w:val="00433A6F"/>
    <w:rsid w:val="004470D8"/>
    <w:rsid w:val="00454530"/>
    <w:rsid w:val="004552B0"/>
    <w:rsid w:val="004B2370"/>
    <w:rsid w:val="005326DF"/>
    <w:rsid w:val="00565AE8"/>
    <w:rsid w:val="005848A7"/>
    <w:rsid w:val="005912D6"/>
    <w:rsid w:val="005C4A4D"/>
    <w:rsid w:val="005C54F2"/>
    <w:rsid w:val="005E0BDF"/>
    <w:rsid w:val="00662819"/>
    <w:rsid w:val="006665C3"/>
    <w:rsid w:val="0068221C"/>
    <w:rsid w:val="00682533"/>
    <w:rsid w:val="0068382E"/>
    <w:rsid w:val="00693ED0"/>
    <w:rsid w:val="006A5898"/>
    <w:rsid w:val="00734DB8"/>
    <w:rsid w:val="007C6B04"/>
    <w:rsid w:val="00803F93"/>
    <w:rsid w:val="00806E48"/>
    <w:rsid w:val="008269FE"/>
    <w:rsid w:val="008563B2"/>
    <w:rsid w:val="00873216"/>
    <w:rsid w:val="008903F8"/>
    <w:rsid w:val="00890E8C"/>
    <w:rsid w:val="008B53F1"/>
    <w:rsid w:val="008E476D"/>
    <w:rsid w:val="00940C5B"/>
    <w:rsid w:val="009C5FDD"/>
    <w:rsid w:val="009E6195"/>
    <w:rsid w:val="00A00DBF"/>
    <w:rsid w:val="00A4138B"/>
    <w:rsid w:val="00A51D36"/>
    <w:rsid w:val="00A5511D"/>
    <w:rsid w:val="00A81E51"/>
    <w:rsid w:val="00A87FCE"/>
    <w:rsid w:val="00B210ED"/>
    <w:rsid w:val="00BF140F"/>
    <w:rsid w:val="00BF66EF"/>
    <w:rsid w:val="00C82CF3"/>
    <w:rsid w:val="00C97D60"/>
    <w:rsid w:val="00D23B0D"/>
    <w:rsid w:val="00D4149D"/>
    <w:rsid w:val="00D546FD"/>
    <w:rsid w:val="00D55A5A"/>
    <w:rsid w:val="00D62EA6"/>
    <w:rsid w:val="00D636C5"/>
    <w:rsid w:val="00D771CF"/>
    <w:rsid w:val="00DA1383"/>
    <w:rsid w:val="00DB74AC"/>
    <w:rsid w:val="00DE2243"/>
    <w:rsid w:val="00E20F73"/>
    <w:rsid w:val="00E25063"/>
    <w:rsid w:val="00E55A72"/>
    <w:rsid w:val="00E63416"/>
    <w:rsid w:val="00E806CE"/>
    <w:rsid w:val="00EA14FA"/>
    <w:rsid w:val="00EA199B"/>
    <w:rsid w:val="00EA3BC2"/>
    <w:rsid w:val="00EA57C1"/>
    <w:rsid w:val="00EE5897"/>
    <w:rsid w:val="00EE7619"/>
    <w:rsid w:val="00F12344"/>
    <w:rsid w:val="00F23F28"/>
    <w:rsid w:val="00F6049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DA0F6"/>
  <w15:chartTrackingRefBased/>
  <w15:docId w15:val="{BF2C3CE2-6E25-4D5E-A174-2148CEB19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A4138B"/>
    <w:pPr>
      <w:ind w:left="720"/>
      <w:contextualSpacing/>
    </w:pPr>
  </w:style>
  <w:style w:type="table" w:styleId="Mriekatabuky">
    <w:name w:val="Table Grid"/>
    <w:basedOn w:val="Normlnatabuka"/>
    <w:uiPriority w:val="39"/>
    <w:rsid w:val="00A551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2F6D92"/>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F6D92"/>
    <w:rPr>
      <w:rFonts w:ascii="Segoe UI" w:hAnsi="Segoe UI" w:cs="Segoe UI"/>
      <w:sz w:val="18"/>
      <w:szCs w:val="18"/>
    </w:rPr>
  </w:style>
  <w:style w:type="paragraph" w:styleId="Hlavika">
    <w:name w:val="header"/>
    <w:basedOn w:val="Normlny"/>
    <w:link w:val="HlavikaChar"/>
    <w:uiPriority w:val="99"/>
    <w:unhideWhenUsed/>
    <w:rsid w:val="00693ED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93ED0"/>
  </w:style>
  <w:style w:type="paragraph" w:styleId="Pta">
    <w:name w:val="footer"/>
    <w:basedOn w:val="Normlny"/>
    <w:link w:val="PtaChar"/>
    <w:uiPriority w:val="99"/>
    <w:unhideWhenUsed/>
    <w:rsid w:val="00693ED0"/>
    <w:pPr>
      <w:tabs>
        <w:tab w:val="center" w:pos="4536"/>
        <w:tab w:val="right" w:pos="9072"/>
      </w:tabs>
      <w:spacing w:after="0" w:line="240" w:lineRule="auto"/>
    </w:pPr>
  </w:style>
  <w:style w:type="character" w:customStyle="1" w:styleId="PtaChar">
    <w:name w:val="Päta Char"/>
    <w:basedOn w:val="Predvolenpsmoodseku"/>
    <w:link w:val="Pta"/>
    <w:uiPriority w:val="99"/>
    <w:rsid w:val="00693ED0"/>
  </w:style>
  <w:style w:type="character" w:styleId="Hypertextovprepojenie">
    <w:name w:val="Hyperlink"/>
    <w:basedOn w:val="Predvolenpsmoodseku"/>
    <w:uiPriority w:val="99"/>
    <w:unhideWhenUsed/>
    <w:rsid w:val="001F02FE"/>
    <w:rPr>
      <w:color w:val="0000FF"/>
      <w:u w:val="single"/>
    </w:rPr>
  </w:style>
  <w:style w:type="character" w:styleId="Odkaznakomentr">
    <w:name w:val="annotation reference"/>
    <w:basedOn w:val="Predvolenpsmoodseku"/>
    <w:uiPriority w:val="99"/>
    <w:semiHidden/>
    <w:unhideWhenUsed/>
    <w:qFormat/>
    <w:rsid w:val="00B210ED"/>
    <w:rPr>
      <w:sz w:val="16"/>
      <w:szCs w:val="16"/>
    </w:rPr>
  </w:style>
  <w:style w:type="paragraph" w:styleId="Textkomentra">
    <w:name w:val="annotation text"/>
    <w:basedOn w:val="Normlny"/>
    <w:link w:val="TextkomentraChar"/>
    <w:uiPriority w:val="99"/>
    <w:unhideWhenUsed/>
    <w:qFormat/>
    <w:rsid w:val="00B210ED"/>
    <w:pPr>
      <w:spacing w:line="240" w:lineRule="auto"/>
    </w:pPr>
    <w:rPr>
      <w:sz w:val="20"/>
      <w:szCs w:val="20"/>
    </w:rPr>
  </w:style>
  <w:style w:type="character" w:customStyle="1" w:styleId="TextkomentraChar">
    <w:name w:val="Text komentára Char"/>
    <w:basedOn w:val="Predvolenpsmoodseku"/>
    <w:link w:val="Textkomentra"/>
    <w:uiPriority w:val="99"/>
    <w:qFormat/>
    <w:rsid w:val="00B210ED"/>
    <w:rPr>
      <w:sz w:val="20"/>
      <w:szCs w:val="20"/>
    </w:rPr>
  </w:style>
  <w:style w:type="paragraph" w:styleId="Predmetkomentra">
    <w:name w:val="annotation subject"/>
    <w:basedOn w:val="Textkomentra"/>
    <w:next w:val="Textkomentra"/>
    <w:link w:val="PredmetkomentraChar"/>
    <w:uiPriority w:val="99"/>
    <w:semiHidden/>
    <w:unhideWhenUsed/>
    <w:rsid w:val="00B210ED"/>
    <w:rPr>
      <w:b/>
      <w:bCs/>
    </w:rPr>
  </w:style>
  <w:style w:type="character" w:customStyle="1" w:styleId="PredmetkomentraChar">
    <w:name w:val="Predmet komentára Char"/>
    <w:basedOn w:val="TextkomentraChar"/>
    <w:link w:val="Predmetkomentra"/>
    <w:uiPriority w:val="99"/>
    <w:semiHidden/>
    <w:rsid w:val="00B210ED"/>
    <w:rPr>
      <w:b/>
      <w:bCs/>
      <w:sz w:val="20"/>
      <w:szCs w:val="20"/>
    </w:rPr>
  </w:style>
  <w:style w:type="character" w:customStyle="1" w:styleId="normaltextrun">
    <w:name w:val="normaltextrun"/>
    <w:basedOn w:val="Predvolenpsmoodseku"/>
    <w:rsid w:val="005C4A4D"/>
  </w:style>
  <w:style w:type="paragraph" w:styleId="Normlnywebov">
    <w:name w:val="Normal (Web)"/>
    <w:basedOn w:val="Normlny"/>
    <w:uiPriority w:val="99"/>
    <w:rsid w:val="009E6195"/>
    <w:pPr>
      <w:spacing w:before="100" w:beforeAutospacing="1" w:after="100" w:afterAutospacing="1" w:line="240" w:lineRule="auto"/>
      <w:jc w:val="both"/>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39472">
      <w:bodyDiv w:val="1"/>
      <w:marLeft w:val="0"/>
      <w:marRight w:val="0"/>
      <w:marTop w:val="0"/>
      <w:marBottom w:val="0"/>
      <w:divBdr>
        <w:top w:val="none" w:sz="0" w:space="0" w:color="auto"/>
        <w:left w:val="none" w:sz="0" w:space="0" w:color="auto"/>
        <w:bottom w:val="none" w:sz="0" w:space="0" w:color="auto"/>
        <w:right w:val="none" w:sz="0" w:space="0" w:color="auto"/>
      </w:divBdr>
      <w:divsChild>
        <w:div w:id="3900768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ww.buyingfor.vic.gov.a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customXml/item4.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CTYWSUCD3UHA-405917165-165</_dlc_DocId>
    <_dlc_DocIdUrl xmlns="af457a4c-de28-4d38-bda9-e56a61b168cd">
      <Url>https://sp.vicepremier.gov.sk/verejne-obstaravanie-IKT/_layouts/15/DocIdRedir.aspx?ID=CTYWSUCD3UHA-405917165-165</Url>
      <Description>CTYWSUCD3UHA-405917165-165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390DBB6B05DC49B9122DB2AD4543EF" ma:contentTypeVersion="1" ma:contentTypeDescription="Umožňuje vytvoriť nový dokument." ma:contentTypeScope="" ma:versionID="aee40ecfb5eb9f125b36a4508aaede69">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5E4F9E4-EC8F-4D0E-95A5-D7802887FBE5}">
  <ds:schemaRefs>
    <ds:schemaRef ds:uri="http://schemas.microsoft.com/office/infopath/2007/PartnerControls"/>
    <ds:schemaRef ds:uri="http://www.w3.org/XML/1998/namespace"/>
    <ds:schemaRef ds:uri="http://purl.org/dc/dcmitype/"/>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0b805301-bba4-43cf-842a-76f82ac90728"/>
    <ds:schemaRef ds:uri="4c9d3255-75dd-4362-8723-56a9bcd9f80c"/>
    <ds:schemaRef ds:uri="http://purl.org/dc/terms/"/>
  </ds:schemaRefs>
</ds:datastoreItem>
</file>

<file path=customXml/itemProps2.xml><?xml version="1.0" encoding="utf-8"?>
<ds:datastoreItem xmlns:ds="http://schemas.openxmlformats.org/officeDocument/2006/customXml" ds:itemID="{2E416E22-BAF1-4D97-A2B3-2C32A9E40669}">
  <ds:schemaRefs>
    <ds:schemaRef ds:uri="http://schemas.microsoft.com/sharepoint/v3/contenttype/forms"/>
  </ds:schemaRefs>
</ds:datastoreItem>
</file>

<file path=customXml/itemProps3.xml><?xml version="1.0" encoding="utf-8"?>
<ds:datastoreItem xmlns:ds="http://schemas.openxmlformats.org/officeDocument/2006/customXml" ds:itemID="{D3F41E91-9B23-4A4D-9C42-B059AE509486}"/>
</file>

<file path=customXml/itemProps4.xml><?xml version="1.0" encoding="utf-8"?>
<ds:datastoreItem xmlns:ds="http://schemas.openxmlformats.org/officeDocument/2006/customXml" ds:itemID="{D4691D0F-CC55-468F-B116-3226A3C7C188}"/>
</file>

<file path=docProps/app.xml><?xml version="1.0" encoding="utf-8"?>
<Properties xmlns="http://schemas.openxmlformats.org/officeDocument/2006/extended-properties" xmlns:vt="http://schemas.openxmlformats.org/officeDocument/2006/docPropsVTypes">
  <Template>Normal</Template>
  <TotalTime>152</TotalTime>
  <Pages>3</Pages>
  <Words>1028</Words>
  <Characters>5866</Characters>
  <Application>Microsoft Office Word</Application>
  <DocSecurity>0</DocSecurity>
  <Lines>48</Lines>
  <Paragraphs>13</Paragraphs>
  <ScaleCrop>false</ScaleCrop>
  <HeadingPairs>
    <vt:vector size="2" baseType="variant">
      <vt:variant>
        <vt:lpstr>Názov</vt:lpstr>
      </vt:variant>
      <vt:variant>
        <vt:i4>1</vt:i4>
      </vt:variant>
    </vt:vector>
  </HeadingPairs>
  <TitlesOfParts>
    <vt:vector size="1" baseType="lpstr">
      <vt:lpstr/>
    </vt:vector>
  </TitlesOfParts>
  <Company>FLAW</Company>
  <LinksUpToDate>false</LinksUpToDate>
  <CharactersWithSpaces>6881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Hodossy</dc:creator>
  <cp:keywords/>
  <dc:description/>
  <cp:lastModifiedBy>OSLOITK</cp:lastModifiedBy>
  <cp:revision>16</cp:revision>
  <dcterms:created xsi:type="dcterms:W3CDTF">2021-04-15T06:33:00Z</dcterms:created>
  <dcterms:modified xsi:type="dcterms:W3CDTF">2021-04-15T13:29:00Z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0x010100C1390DBB6B05DC49B9122DB2AD4543EF</vt:lpwstr>
  </property>
  <property fmtid="{D5CDD505-2E9C-101B-9397-08002B2CF9AE}" pid="3" name="_dlc_DocIdItemGuid">
    <vt:lpwstr>3d33a6ca-5a1d-440a-b77f-6760ef50ee11</vt:lpwstr>
  </property>
</Properties>
</file>