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31F0A" w14:textId="2FA1C3F9" w:rsidR="005543DE" w:rsidRPr="005912D6" w:rsidRDefault="00A4138B" w:rsidP="00A4138B">
      <w:pPr>
        <w:jc w:val="center"/>
        <w:rPr>
          <w:rFonts w:ascii="Arial" w:hAnsi="Arial" w:cs="Arial"/>
          <w:b/>
        </w:rPr>
      </w:pPr>
      <w:r w:rsidRPr="005912D6">
        <w:rPr>
          <w:rFonts w:ascii="Arial" w:hAnsi="Arial" w:cs="Arial"/>
          <w:b/>
        </w:rPr>
        <w:t>Záznam z rokovania pracovnej skupiny „verejné obstarávanie IKT“ uskutočnen</w:t>
      </w:r>
      <w:r w:rsidR="008563B2" w:rsidRPr="005912D6">
        <w:rPr>
          <w:rFonts w:ascii="Arial" w:hAnsi="Arial" w:cs="Arial"/>
          <w:b/>
        </w:rPr>
        <w:t>ého</w:t>
      </w:r>
      <w:r w:rsidR="008269FE">
        <w:rPr>
          <w:rFonts w:ascii="Arial" w:hAnsi="Arial" w:cs="Arial"/>
          <w:b/>
        </w:rPr>
        <w:t xml:space="preserve"> dňa (</w:t>
      </w:r>
      <w:r w:rsidR="00FA3D94">
        <w:rPr>
          <w:rFonts w:ascii="Arial" w:hAnsi="Arial" w:cs="Arial"/>
          <w:b/>
        </w:rPr>
        <w:t>14.12.2021) o 13</w:t>
      </w:r>
      <w:r w:rsidRPr="005912D6">
        <w:rPr>
          <w:rFonts w:ascii="Arial" w:hAnsi="Arial" w:cs="Arial"/>
          <w:b/>
        </w:rPr>
        <w:t>.</w:t>
      </w:r>
      <w:r w:rsidR="005912D6">
        <w:rPr>
          <w:rFonts w:ascii="Arial" w:hAnsi="Arial" w:cs="Arial"/>
          <w:b/>
        </w:rPr>
        <w:t>00</w:t>
      </w:r>
      <w:r w:rsidRPr="005912D6">
        <w:rPr>
          <w:rFonts w:ascii="Arial" w:hAnsi="Arial" w:cs="Arial"/>
          <w:b/>
        </w:rPr>
        <w:t xml:space="preserve"> hodine prostredníctvom použitia aplikácie MS </w:t>
      </w:r>
      <w:proofErr w:type="spellStart"/>
      <w:r w:rsidRPr="005912D6">
        <w:rPr>
          <w:rFonts w:ascii="Arial" w:hAnsi="Arial" w:cs="Arial"/>
          <w:b/>
        </w:rPr>
        <w:t>Teams</w:t>
      </w:r>
      <w:proofErr w:type="spellEnd"/>
      <w:r w:rsidRPr="005912D6">
        <w:rPr>
          <w:rFonts w:ascii="Arial" w:hAnsi="Arial" w:cs="Arial"/>
          <w:b/>
        </w:rPr>
        <w:t>.</w:t>
      </w:r>
    </w:p>
    <w:p w14:paraId="7B7A93B4" w14:textId="77777777" w:rsidR="00A4138B" w:rsidRPr="005912D6" w:rsidRDefault="00A4138B" w:rsidP="00A4138B">
      <w:pPr>
        <w:jc w:val="center"/>
        <w:rPr>
          <w:rFonts w:ascii="Arial" w:hAnsi="Arial" w:cs="Arial"/>
          <w:b/>
        </w:rPr>
      </w:pPr>
    </w:p>
    <w:p w14:paraId="28814EC3" w14:textId="6FFC1982" w:rsidR="00A4138B" w:rsidRPr="005912D6" w:rsidRDefault="00A4138B" w:rsidP="001F02FE">
      <w:pPr>
        <w:pStyle w:val="Odsekzoznamu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b/>
        </w:rPr>
      </w:pPr>
      <w:r w:rsidRPr="005912D6">
        <w:rPr>
          <w:rFonts w:ascii="Arial" w:hAnsi="Arial" w:cs="Arial"/>
        </w:rPr>
        <w:t xml:space="preserve">Predseda pracovnej skupiny „verejné obstarávanie IKT“ Kristian Hodossy privítal účastníkov rokovania pracovnej skupiny, pričom v prvom kroku overil prítomnosť členov pracovnej skupiny. Predseda pracovnej skupiny konštatoval vo vzťahu k prezencii účastníkov nasledovné: </w:t>
      </w:r>
    </w:p>
    <w:p w14:paraId="4EBB53AE" w14:textId="77777777" w:rsidR="001F02FE" w:rsidRPr="005912D6" w:rsidRDefault="001F02FE" w:rsidP="001F02FE">
      <w:pPr>
        <w:pStyle w:val="Odsekzoznamu"/>
        <w:tabs>
          <w:tab w:val="left" w:pos="284"/>
        </w:tabs>
        <w:ind w:left="0"/>
        <w:jc w:val="both"/>
        <w:rPr>
          <w:rFonts w:ascii="Arial" w:hAnsi="Arial" w:cs="Arial"/>
          <w:b/>
        </w:rPr>
      </w:pPr>
    </w:p>
    <w:p w14:paraId="2BAE0A1D" w14:textId="158B5025" w:rsidR="00A4138B" w:rsidRPr="00384160" w:rsidRDefault="00A4138B" w:rsidP="00384160">
      <w:pPr>
        <w:jc w:val="both"/>
        <w:rPr>
          <w:rFonts w:ascii="Arial" w:hAnsi="Arial" w:cs="Arial"/>
          <w:b/>
        </w:rPr>
      </w:pPr>
      <w:r w:rsidRPr="00384160">
        <w:rPr>
          <w:rFonts w:ascii="Arial" w:hAnsi="Arial" w:cs="Arial"/>
        </w:rPr>
        <w:t xml:space="preserve">Prítomní: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0"/>
      </w:tblGrid>
      <w:tr w:rsidR="00A5511D" w:rsidRPr="005912D6" w14:paraId="56F0A55C" w14:textId="77777777" w:rsidTr="008269FE">
        <w:tc>
          <w:tcPr>
            <w:tcW w:w="4531" w:type="dxa"/>
          </w:tcPr>
          <w:p w14:paraId="4EC6B833" w14:textId="00E70A0C" w:rsidR="00A5511D" w:rsidRPr="005912D6" w:rsidRDefault="00A5511D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MIRRI</w:t>
            </w:r>
            <w:r w:rsidR="00B04D85">
              <w:rPr>
                <w:rFonts w:ascii="Arial" w:hAnsi="Arial" w:cs="Arial"/>
              </w:rPr>
              <w:t xml:space="preserve"> SR</w:t>
            </w:r>
          </w:p>
        </w:tc>
        <w:tc>
          <w:tcPr>
            <w:tcW w:w="4530" w:type="dxa"/>
          </w:tcPr>
          <w:p w14:paraId="3895692D" w14:textId="2DA3B0ED" w:rsidR="00A5511D" w:rsidRPr="005912D6" w:rsidRDefault="00433A6F" w:rsidP="00FA3D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Hodossy</w:t>
            </w:r>
            <w:r w:rsidR="00FA3D94">
              <w:rPr>
                <w:rFonts w:ascii="Arial" w:hAnsi="Arial" w:cs="Arial"/>
              </w:rPr>
              <w:t>,</w:t>
            </w:r>
            <w:r w:rsidR="00EA6EAF">
              <w:rPr>
                <w:rFonts w:ascii="Arial" w:hAnsi="Arial" w:cs="Arial"/>
              </w:rPr>
              <w:t xml:space="preserve"> Bezek, </w:t>
            </w:r>
            <w:r w:rsidR="00FA3D94">
              <w:rPr>
                <w:rFonts w:ascii="Arial" w:hAnsi="Arial" w:cs="Arial"/>
              </w:rPr>
              <w:t>Hladík</w:t>
            </w:r>
            <w:r w:rsidR="00BE2340">
              <w:rPr>
                <w:rFonts w:ascii="Arial" w:hAnsi="Arial" w:cs="Arial"/>
              </w:rPr>
              <w:t xml:space="preserve">, </w:t>
            </w:r>
            <w:proofErr w:type="spellStart"/>
            <w:r w:rsidR="00BE2340">
              <w:rPr>
                <w:rFonts w:ascii="Arial" w:hAnsi="Arial" w:cs="Arial"/>
              </w:rPr>
              <w:t>Raučina</w:t>
            </w:r>
            <w:proofErr w:type="spellEnd"/>
          </w:p>
        </w:tc>
      </w:tr>
      <w:tr w:rsidR="00A5511D" w:rsidRPr="005912D6" w14:paraId="3272CD0F" w14:textId="77777777" w:rsidTr="008269FE">
        <w:tc>
          <w:tcPr>
            <w:tcW w:w="4531" w:type="dxa"/>
          </w:tcPr>
          <w:p w14:paraId="6904953C" w14:textId="77777777" w:rsidR="00A5511D" w:rsidRPr="005912D6" w:rsidRDefault="00A5511D" w:rsidP="00A5511D">
            <w:pPr>
              <w:jc w:val="both"/>
              <w:rPr>
                <w:rFonts w:ascii="Arial" w:hAnsi="Arial" w:cs="Arial"/>
              </w:rPr>
            </w:pPr>
            <w:r w:rsidRPr="005912D6">
              <w:rPr>
                <w:rFonts w:ascii="Arial" w:hAnsi="Arial" w:cs="Arial"/>
              </w:rPr>
              <w:t>ÚVO</w:t>
            </w:r>
          </w:p>
        </w:tc>
        <w:tc>
          <w:tcPr>
            <w:tcW w:w="4530" w:type="dxa"/>
          </w:tcPr>
          <w:p w14:paraId="6FDDFE54" w14:textId="1465DD63" w:rsidR="00A5511D" w:rsidRPr="005912D6" w:rsidRDefault="00FA3D94" w:rsidP="00805BD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Majchrák</w:t>
            </w:r>
            <w:proofErr w:type="spellEnd"/>
            <w:r w:rsidR="00A5511D" w:rsidRPr="005912D6">
              <w:rPr>
                <w:rFonts w:ascii="Arial" w:hAnsi="Arial" w:cs="Arial"/>
              </w:rPr>
              <w:t xml:space="preserve">, </w:t>
            </w:r>
            <w:r w:rsidR="00805BD1">
              <w:rPr>
                <w:rFonts w:ascii="Arial" w:hAnsi="Arial" w:cs="Arial"/>
              </w:rPr>
              <w:t>Luhový</w:t>
            </w:r>
            <w:r w:rsidR="00A5511D" w:rsidRPr="005912D6">
              <w:rPr>
                <w:rFonts w:ascii="Arial" w:hAnsi="Arial" w:cs="Arial"/>
              </w:rPr>
              <w:t xml:space="preserve"> </w:t>
            </w:r>
          </w:p>
        </w:tc>
      </w:tr>
      <w:tr w:rsidR="00A5511D" w:rsidRPr="005912D6" w14:paraId="41B2C60B" w14:textId="77777777" w:rsidTr="008269FE">
        <w:tc>
          <w:tcPr>
            <w:tcW w:w="4531" w:type="dxa"/>
          </w:tcPr>
          <w:p w14:paraId="57371504" w14:textId="769FC837" w:rsidR="00A5511D" w:rsidRPr="005912D6" w:rsidRDefault="00806E48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Únia miest </w:t>
            </w:r>
            <w:r w:rsidR="00805BD1">
              <w:rPr>
                <w:rFonts w:ascii="Arial" w:hAnsi="Arial" w:cs="Arial"/>
              </w:rPr>
              <w:t>Slovenska</w:t>
            </w:r>
          </w:p>
        </w:tc>
        <w:tc>
          <w:tcPr>
            <w:tcW w:w="4530" w:type="dxa"/>
          </w:tcPr>
          <w:p w14:paraId="772E2E4A" w14:textId="7AAC417C" w:rsidR="00A5511D" w:rsidRPr="005912D6" w:rsidRDefault="008007DE" w:rsidP="00A5511D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Dolinský</w:t>
            </w:r>
            <w:proofErr w:type="spellEnd"/>
          </w:p>
        </w:tc>
      </w:tr>
      <w:tr w:rsidR="00A5511D" w:rsidRPr="005912D6" w14:paraId="2133FFB3" w14:textId="77777777" w:rsidTr="008269FE">
        <w:tc>
          <w:tcPr>
            <w:tcW w:w="4531" w:type="dxa"/>
          </w:tcPr>
          <w:p w14:paraId="5BBC39EB" w14:textId="3249C8A5" w:rsidR="00A5511D" w:rsidRPr="005912D6" w:rsidRDefault="008007DE" w:rsidP="00A5511D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MDaV</w:t>
            </w:r>
            <w:proofErr w:type="spellEnd"/>
            <w:r>
              <w:rPr>
                <w:rFonts w:ascii="Arial" w:hAnsi="Arial" w:cs="Arial"/>
              </w:rPr>
              <w:t xml:space="preserve"> SR</w:t>
            </w:r>
          </w:p>
        </w:tc>
        <w:tc>
          <w:tcPr>
            <w:tcW w:w="4530" w:type="dxa"/>
          </w:tcPr>
          <w:p w14:paraId="5F06C157" w14:textId="4959EB46" w:rsidR="00A5511D" w:rsidRPr="005912D6" w:rsidRDefault="008007DE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Minarovič</w:t>
            </w:r>
          </w:p>
        </w:tc>
      </w:tr>
      <w:tr w:rsidR="00A5511D" w:rsidRPr="005912D6" w14:paraId="31852BCD" w14:textId="77777777" w:rsidTr="008269FE">
        <w:tc>
          <w:tcPr>
            <w:tcW w:w="4531" w:type="dxa"/>
          </w:tcPr>
          <w:p w14:paraId="62E52861" w14:textId="7DD0070B" w:rsidR="00A5511D" w:rsidRPr="005912D6" w:rsidRDefault="00806E48" w:rsidP="00806E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DEUS </w:t>
            </w:r>
          </w:p>
        </w:tc>
        <w:tc>
          <w:tcPr>
            <w:tcW w:w="4530" w:type="dxa"/>
          </w:tcPr>
          <w:p w14:paraId="0C4AED7A" w14:textId="44600945" w:rsidR="00A5511D" w:rsidRPr="005912D6" w:rsidRDefault="00806E48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Omasta</w:t>
            </w:r>
          </w:p>
        </w:tc>
      </w:tr>
      <w:tr w:rsidR="00A5511D" w:rsidRPr="005912D6" w14:paraId="1A9BFF54" w14:textId="77777777" w:rsidTr="008269FE">
        <w:tc>
          <w:tcPr>
            <w:tcW w:w="4531" w:type="dxa"/>
          </w:tcPr>
          <w:p w14:paraId="2BBAA387" w14:textId="6901F790" w:rsidR="00A5511D" w:rsidRPr="005912D6" w:rsidRDefault="00BE2340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ŠÚ</w:t>
            </w:r>
            <w:r w:rsidR="00B04D8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SR</w:t>
            </w:r>
          </w:p>
        </w:tc>
        <w:tc>
          <w:tcPr>
            <w:tcW w:w="4530" w:type="dxa"/>
          </w:tcPr>
          <w:p w14:paraId="3220424B" w14:textId="46B7F994" w:rsidR="00A5511D" w:rsidRPr="005912D6" w:rsidRDefault="00BE2340" w:rsidP="00A5511D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Neborášek</w:t>
            </w:r>
            <w:proofErr w:type="spellEnd"/>
          </w:p>
        </w:tc>
      </w:tr>
      <w:tr w:rsidR="00A5511D" w:rsidRPr="005912D6" w14:paraId="580E80F9" w14:textId="77777777" w:rsidTr="008269FE">
        <w:tc>
          <w:tcPr>
            <w:tcW w:w="4531" w:type="dxa"/>
          </w:tcPr>
          <w:p w14:paraId="6D9F0950" w14:textId="6EE41C3F" w:rsidR="00A5511D" w:rsidRPr="005912D6" w:rsidRDefault="00805BD1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ITAS</w:t>
            </w:r>
          </w:p>
        </w:tc>
        <w:tc>
          <w:tcPr>
            <w:tcW w:w="4530" w:type="dxa"/>
          </w:tcPr>
          <w:p w14:paraId="09352D10" w14:textId="0AECF58E" w:rsidR="00A5511D" w:rsidRPr="005912D6" w:rsidRDefault="00805BD1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Marek</w:t>
            </w:r>
          </w:p>
        </w:tc>
      </w:tr>
      <w:tr w:rsidR="00A5511D" w:rsidRPr="005912D6" w14:paraId="092AAECB" w14:textId="77777777" w:rsidTr="008269FE">
        <w:tc>
          <w:tcPr>
            <w:tcW w:w="4531" w:type="dxa"/>
          </w:tcPr>
          <w:p w14:paraId="3F76B935" w14:textId="631C2990" w:rsidR="00A5511D" w:rsidRPr="005912D6" w:rsidRDefault="00BE2340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MK</w:t>
            </w:r>
            <w:r w:rsidR="00B04D8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SR </w:t>
            </w:r>
          </w:p>
        </w:tc>
        <w:tc>
          <w:tcPr>
            <w:tcW w:w="4530" w:type="dxa"/>
          </w:tcPr>
          <w:p w14:paraId="48ABFD8C" w14:textId="169307F7" w:rsidR="00A5511D" w:rsidRPr="005912D6" w:rsidRDefault="00BE2340" w:rsidP="00BE234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Machel </w:t>
            </w:r>
          </w:p>
        </w:tc>
      </w:tr>
      <w:tr w:rsidR="00EA6EAF" w:rsidRPr="005912D6" w14:paraId="500480D4" w14:textId="77777777" w:rsidTr="00B04D85">
        <w:trPr>
          <w:trHeight w:val="314"/>
        </w:trPr>
        <w:tc>
          <w:tcPr>
            <w:tcW w:w="4531" w:type="dxa"/>
          </w:tcPr>
          <w:p w14:paraId="5E0F6AA2" w14:textId="69628FFD" w:rsidR="003615E7" w:rsidRPr="00805BD1" w:rsidRDefault="00BE2340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UJD SR</w:t>
            </w:r>
          </w:p>
        </w:tc>
        <w:tc>
          <w:tcPr>
            <w:tcW w:w="4530" w:type="dxa"/>
          </w:tcPr>
          <w:p w14:paraId="107ABF2B" w14:textId="6FC08A5C" w:rsidR="00EA6EAF" w:rsidRPr="005912D6" w:rsidRDefault="00BE2340" w:rsidP="00E8713E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Cigánekova</w:t>
            </w:r>
            <w:proofErr w:type="spellEnd"/>
          </w:p>
        </w:tc>
      </w:tr>
      <w:tr w:rsidR="00B62EE0" w:rsidRPr="005912D6" w14:paraId="7CD142F8" w14:textId="77777777" w:rsidTr="00EA6EAF">
        <w:trPr>
          <w:trHeight w:val="128"/>
        </w:trPr>
        <w:tc>
          <w:tcPr>
            <w:tcW w:w="4531" w:type="dxa"/>
          </w:tcPr>
          <w:p w14:paraId="1D056666" w14:textId="5CBDE90E" w:rsidR="00B62EE0" w:rsidRDefault="00B62EE0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NASES</w:t>
            </w:r>
          </w:p>
        </w:tc>
        <w:tc>
          <w:tcPr>
            <w:tcW w:w="4530" w:type="dxa"/>
          </w:tcPr>
          <w:p w14:paraId="73361505" w14:textId="18FDBDAF" w:rsidR="00B62EE0" w:rsidRDefault="00B62EE0" w:rsidP="00E8713E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Švantner</w:t>
            </w:r>
            <w:proofErr w:type="spellEnd"/>
          </w:p>
        </w:tc>
      </w:tr>
      <w:tr w:rsidR="00EA6EAF" w:rsidRPr="005912D6" w14:paraId="16F42057" w14:textId="77777777" w:rsidTr="00EA6EAF">
        <w:trPr>
          <w:trHeight w:val="127"/>
        </w:trPr>
        <w:tc>
          <w:tcPr>
            <w:tcW w:w="4531" w:type="dxa"/>
          </w:tcPr>
          <w:p w14:paraId="0F111760" w14:textId="791FE457" w:rsidR="00EA6EAF" w:rsidRPr="00EA6EAF" w:rsidRDefault="00EA6EAF" w:rsidP="00A5511D">
            <w:pPr>
              <w:jc w:val="both"/>
              <w:rPr>
                <w:rFonts w:ascii="Arial" w:hAnsi="Arial" w:cs="Arial"/>
                <w:b/>
              </w:rPr>
            </w:pPr>
            <w:r w:rsidRPr="00EA6EAF">
              <w:rPr>
                <w:rFonts w:ascii="Arial" w:hAnsi="Arial" w:cs="Arial"/>
                <w:b/>
              </w:rPr>
              <w:t>Prizvaní hostia</w:t>
            </w:r>
          </w:p>
        </w:tc>
        <w:tc>
          <w:tcPr>
            <w:tcW w:w="4530" w:type="dxa"/>
          </w:tcPr>
          <w:p w14:paraId="1DBA8103" w14:textId="77777777" w:rsidR="00EA6EAF" w:rsidRPr="005912D6" w:rsidRDefault="00EA6EAF" w:rsidP="00A5511D">
            <w:pPr>
              <w:jc w:val="both"/>
              <w:rPr>
                <w:rFonts w:ascii="Arial" w:hAnsi="Arial" w:cs="Arial"/>
              </w:rPr>
            </w:pPr>
          </w:p>
        </w:tc>
      </w:tr>
      <w:tr w:rsidR="00A5511D" w:rsidRPr="005912D6" w14:paraId="0948086C" w14:textId="77777777" w:rsidTr="008269FE">
        <w:tc>
          <w:tcPr>
            <w:tcW w:w="4531" w:type="dxa"/>
          </w:tcPr>
          <w:p w14:paraId="57CF254C" w14:textId="0E7E9EFA" w:rsidR="00A5511D" w:rsidRPr="00EA6EAF" w:rsidRDefault="00EA6EAF" w:rsidP="00A5511D">
            <w:pPr>
              <w:jc w:val="both"/>
              <w:rPr>
                <w:rFonts w:ascii="Arial" w:hAnsi="Arial" w:cs="Arial"/>
              </w:rPr>
            </w:pPr>
            <w:r w:rsidRPr="00EA6EAF">
              <w:rPr>
                <w:rFonts w:ascii="Arial" w:hAnsi="Arial" w:cs="Arial"/>
              </w:rPr>
              <w:t>MIRRI</w:t>
            </w:r>
            <w:r w:rsidR="00B04D85">
              <w:rPr>
                <w:rFonts w:ascii="Arial" w:hAnsi="Arial" w:cs="Arial"/>
              </w:rPr>
              <w:t xml:space="preserve"> SR</w:t>
            </w:r>
          </w:p>
        </w:tc>
        <w:tc>
          <w:tcPr>
            <w:tcW w:w="4530" w:type="dxa"/>
          </w:tcPr>
          <w:p w14:paraId="40D6BE1C" w14:textId="25B915FE" w:rsidR="00A5511D" w:rsidRPr="00EA6EAF" w:rsidRDefault="003615E7" w:rsidP="003615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Svetlošák</w:t>
            </w:r>
          </w:p>
        </w:tc>
      </w:tr>
      <w:tr w:rsidR="00A5511D" w:rsidRPr="005912D6" w14:paraId="28F8D3B5" w14:textId="77777777" w:rsidTr="008269FE">
        <w:tc>
          <w:tcPr>
            <w:tcW w:w="4531" w:type="dxa"/>
          </w:tcPr>
          <w:p w14:paraId="2B77DF51" w14:textId="5A91DE21" w:rsidR="00A5511D" w:rsidRPr="008269FE" w:rsidRDefault="00806E48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Ospravedlnili sa</w:t>
            </w:r>
          </w:p>
        </w:tc>
        <w:tc>
          <w:tcPr>
            <w:tcW w:w="4530" w:type="dxa"/>
          </w:tcPr>
          <w:p w14:paraId="30BEF63A" w14:textId="77777777" w:rsidR="00A5511D" w:rsidRPr="005912D6" w:rsidRDefault="00A5511D" w:rsidP="00A5511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5511D" w:rsidRPr="005912D6" w14:paraId="57AE26EB" w14:textId="77777777" w:rsidTr="008269FE">
        <w:tc>
          <w:tcPr>
            <w:tcW w:w="4531" w:type="dxa"/>
          </w:tcPr>
          <w:p w14:paraId="6CDE88EA" w14:textId="6E77DBC6" w:rsidR="00A5511D" w:rsidRPr="00806E48" w:rsidRDefault="00FA3D94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PMÚ SR</w:t>
            </w:r>
          </w:p>
        </w:tc>
        <w:tc>
          <w:tcPr>
            <w:tcW w:w="4530" w:type="dxa"/>
          </w:tcPr>
          <w:p w14:paraId="303761C2" w14:textId="48DB0ACD" w:rsidR="00A5511D" w:rsidRPr="00EA6EAF" w:rsidRDefault="00FA3D94" w:rsidP="00A551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Ondruš</w:t>
            </w:r>
          </w:p>
        </w:tc>
      </w:tr>
      <w:tr w:rsidR="00A5511D" w:rsidRPr="005912D6" w14:paraId="0D144BB2" w14:textId="77777777" w:rsidTr="008269FE">
        <w:tc>
          <w:tcPr>
            <w:tcW w:w="4531" w:type="dxa"/>
          </w:tcPr>
          <w:p w14:paraId="4F17DE3C" w14:textId="5D83489D" w:rsidR="00A5511D" w:rsidRPr="00806E48" w:rsidRDefault="00A5511D" w:rsidP="00A5511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0" w:type="dxa"/>
          </w:tcPr>
          <w:p w14:paraId="61B58DF8" w14:textId="77777777" w:rsidR="00A5511D" w:rsidRPr="005912D6" w:rsidRDefault="00A5511D" w:rsidP="00A5511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269FE" w:rsidRPr="005912D6" w14:paraId="5DE3DC36" w14:textId="77777777" w:rsidTr="008269FE">
        <w:tc>
          <w:tcPr>
            <w:tcW w:w="4531" w:type="dxa"/>
          </w:tcPr>
          <w:p w14:paraId="5EA8B504" w14:textId="499F7AE5" w:rsidR="008269FE" w:rsidRPr="00806E48" w:rsidRDefault="008269FE" w:rsidP="00EA6EA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30" w:type="dxa"/>
          </w:tcPr>
          <w:p w14:paraId="093553FE" w14:textId="77777777" w:rsidR="008269FE" w:rsidRPr="005912D6" w:rsidRDefault="008269FE" w:rsidP="008269FE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7F65218" w14:textId="77777777" w:rsidR="00384160" w:rsidRDefault="00384160" w:rsidP="00A5511D">
      <w:pPr>
        <w:jc w:val="both"/>
        <w:rPr>
          <w:rFonts w:ascii="Arial" w:hAnsi="Arial" w:cs="Arial"/>
        </w:rPr>
      </w:pPr>
    </w:p>
    <w:p w14:paraId="1AC294E8" w14:textId="5BFD6CB3" w:rsidR="00873216" w:rsidRPr="00805BD1" w:rsidRDefault="00873216" w:rsidP="00805BD1">
      <w:pPr>
        <w:jc w:val="both"/>
        <w:rPr>
          <w:rFonts w:ascii="Arial" w:hAnsi="Arial" w:cs="Arial"/>
        </w:rPr>
      </w:pPr>
      <w:r w:rsidRPr="00805BD1">
        <w:rPr>
          <w:rFonts w:ascii="Arial" w:hAnsi="Arial" w:cs="Arial"/>
        </w:rPr>
        <w:t xml:space="preserve">Predseda pracovnej skupiny predstavil </w:t>
      </w:r>
      <w:r w:rsidR="00A51D36" w:rsidRPr="00805BD1">
        <w:rPr>
          <w:rFonts w:ascii="Arial" w:hAnsi="Arial" w:cs="Arial"/>
        </w:rPr>
        <w:t>tém</w:t>
      </w:r>
      <w:r w:rsidR="00805BD1" w:rsidRPr="00805BD1">
        <w:rPr>
          <w:rFonts w:ascii="Arial" w:hAnsi="Arial" w:cs="Arial"/>
        </w:rPr>
        <w:t>y zasadnutia pracovnej skupiny, ktorými sú:</w:t>
      </w:r>
      <w:r w:rsidR="00A51D36" w:rsidRPr="00805BD1">
        <w:rPr>
          <w:rFonts w:ascii="Arial" w:hAnsi="Arial" w:cs="Arial"/>
        </w:rPr>
        <w:t xml:space="preserve"> </w:t>
      </w:r>
    </w:p>
    <w:p w14:paraId="2DB8F3D3" w14:textId="42E63860" w:rsidR="00BE2340" w:rsidRPr="00BE2340" w:rsidRDefault="00BE2340" w:rsidP="00BE2340">
      <w:pPr>
        <w:pStyle w:val="Normlnywebov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v</w:t>
      </w:r>
      <w:r w:rsidRPr="00BE2340">
        <w:rPr>
          <w:rFonts w:ascii="Arial" w:hAnsi="Arial" w:cs="Arial"/>
          <w:color w:val="000000" w:themeColor="text1"/>
          <w:sz w:val="22"/>
          <w:szCs w:val="22"/>
        </w:rPr>
        <w:t xml:space="preserve">erejné obstarávanie </w:t>
      </w:r>
      <w:proofErr w:type="spellStart"/>
      <w:r w:rsidRPr="00BE2340">
        <w:rPr>
          <w:rFonts w:ascii="Arial" w:hAnsi="Arial" w:cs="Arial"/>
          <w:color w:val="000000" w:themeColor="text1"/>
          <w:sz w:val="22"/>
          <w:szCs w:val="22"/>
        </w:rPr>
        <w:t>cloudových</w:t>
      </w:r>
      <w:proofErr w:type="spellEnd"/>
      <w:r w:rsidRPr="00BE2340">
        <w:rPr>
          <w:rFonts w:ascii="Arial" w:hAnsi="Arial" w:cs="Arial"/>
          <w:color w:val="000000" w:themeColor="text1"/>
          <w:sz w:val="22"/>
          <w:szCs w:val="22"/>
        </w:rPr>
        <w:t xml:space="preserve"> služ</w:t>
      </w:r>
      <w:r w:rsidR="005E3D35">
        <w:rPr>
          <w:rFonts w:ascii="Arial" w:hAnsi="Arial" w:cs="Arial"/>
          <w:color w:val="000000" w:themeColor="text1"/>
          <w:sz w:val="22"/>
          <w:szCs w:val="22"/>
        </w:rPr>
        <w:t>ieb – iniciatívy vedené MIRRI</w:t>
      </w:r>
      <w:r w:rsidRPr="00BE2340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187A7BC9" w14:textId="6BDE143F" w:rsidR="00BE2340" w:rsidRPr="00BE2340" w:rsidRDefault="00BE2340" w:rsidP="00BE2340">
      <w:pPr>
        <w:pStyle w:val="Normlnywebov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</w:t>
      </w:r>
      <w:r w:rsidRPr="00BE2340">
        <w:rPr>
          <w:rFonts w:ascii="Arial" w:hAnsi="Arial" w:cs="Arial"/>
          <w:color w:val="000000" w:themeColor="text1"/>
          <w:sz w:val="22"/>
          <w:szCs w:val="22"/>
        </w:rPr>
        <w:t xml:space="preserve">apracovanie </w:t>
      </w:r>
      <w:proofErr w:type="spellStart"/>
      <w:r w:rsidRPr="00BE2340">
        <w:rPr>
          <w:rFonts w:ascii="Arial" w:hAnsi="Arial" w:cs="Arial"/>
          <w:color w:val="000000" w:themeColor="text1"/>
          <w:sz w:val="22"/>
          <w:szCs w:val="22"/>
        </w:rPr>
        <w:t>inkrementu</w:t>
      </w:r>
      <w:proofErr w:type="spellEnd"/>
      <w:r w:rsidRPr="00BE2340">
        <w:rPr>
          <w:rFonts w:ascii="Arial" w:hAnsi="Arial" w:cs="Arial"/>
          <w:color w:val="000000" w:themeColor="text1"/>
          <w:sz w:val="22"/>
          <w:szCs w:val="22"/>
        </w:rPr>
        <w:t xml:space="preserve"> a iných námetov do prílohy č. 6 koncepcie nákupu IT – rozdeľovanie IT zákaziek na časti,</w:t>
      </w:r>
    </w:p>
    <w:p w14:paraId="533C305E" w14:textId="49718BFA" w:rsidR="00BE2340" w:rsidRPr="00BE2340" w:rsidRDefault="00BE2340" w:rsidP="00BE2340">
      <w:pPr>
        <w:pStyle w:val="Normlnywebov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</w:t>
      </w:r>
      <w:r w:rsidRPr="00BE2340">
        <w:rPr>
          <w:rFonts w:ascii="Arial" w:hAnsi="Arial" w:cs="Arial"/>
          <w:color w:val="000000" w:themeColor="text1"/>
          <w:sz w:val="22"/>
          <w:szCs w:val="22"/>
        </w:rPr>
        <w:t>ovela zákona o ITVS – zmena ustanovení týkajúcich sa povinností pri</w:t>
      </w:r>
      <w:r w:rsidR="00B12CB0">
        <w:rPr>
          <w:rFonts w:ascii="Arial" w:hAnsi="Arial" w:cs="Arial"/>
          <w:color w:val="000000" w:themeColor="text1"/>
          <w:sz w:val="22"/>
          <w:szCs w:val="22"/>
        </w:rPr>
        <w:t xml:space="preserve"> verejnom obstarávaní</w:t>
      </w:r>
      <w:r w:rsidRPr="00BE234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BE2340">
        <w:rPr>
          <w:rFonts w:ascii="Arial" w:hAnsi="Arial" w:cs="Arial"/>
          <w:color w:val="000000" w:themeColor="text1"/>
          <w:sz w:val="22"/>
          <w:szCs w:val="22"/>
        </w:rPr>
        <w:t>obstarávaní</w:t>
      </w:r>
      <w:proofErr w:type="spellEnd"/>
      <w:r w:rsidRPr="00BE234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583EE3B" w14:textId="77777777" w:rsidR="00BE2340" w:rsidRPr="00BE2340" w:rsidRDefault="00BE2340" w:rsidP="00BE2340">
      <w:pPr>
        <w:pStyle w:val="Normlnywebov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277BF7EF" w14:textId="0247F3A0" w:rsidR="0092213C" w:rsidRPr="0092213C" w:rsidRDefault="0092213C" w:rsidP="00BE2340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Predseda pracovnej skupiny </w:t>
      </w:r>
      <w:r w:rsidR="00642D9B">
        <w:rPr>
          <w:rFonts w:ascii="Arial" w:hAnsi="Arial" w:cs="Arial"/>
          <w:color w:val="000000" w:themeColor="text1"/>
        </w:rPr>
        <w:t>pristúpil k predstaveniu jednotlivých tém a zároveň vyzval prítomných k diskusii</w:t>
      </w:r>
      <w:r w:rsidR="00BE2340">
        <w:rPr>
          <w:rFonts w:ascii="Arial" w:hAnsi="Arial" w:cs="Arial"/>
          <w:color w:val="000000" w:themeColor="text1"/>
        </w:rPr>
        <w:t>.</w:t>
      </w:r>
    </w:p>
    <w:p w14:paraId="579201AF" w14:textId="6CE0A30B" w:rsidR="00693ED0" w:rsidRPr="00595280" w:rsidRDefault="00642D9B" w:rsidP="00595280">
      <w:pPr>
        <w:pStyle w:val="Odsekzoznamu"/>
        <w:numPr>
          <w:ilvl w:val="0"/>
          <w:numId w:val="9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Verejné obstarávanie </w:t>
      </w:r>
      <w:proofErr w:type="spellStart"/>
      <w:r>
        <w:rPr>
          <w:rFonts w:ascii="Arial" w:hAnsi="Arial" w:cs="Arial"/>
          <w:b/>
        </w:rPr>
        <w:t>cloudových</w:t>
      </w:r>
      <w:proofErr w:type="spellEnd"/>
      <w:r>
        <w:rPr>
          <w:rFonts w:ascii="Arial" w:hAnsi="Arial" w:cs="Arial"/>
          <w:b/>
        </w:rPr>
        <w:t xml:space="preserve"> služieb</w:t>
      </w:r>
    </w:p>
    <w:p w14:paraId="6D10AEE4" w14:textId="7A6AF6F0" w:rsidR="00805BD1" w:rsidRDefault="00805BD1" w:rsidP="00F60497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Predseda pracovnej skupiny </w:t>
      </w:r>
      <w:r w:rsidR="00642D9B">
        <w:rPr>
          <w:rFonts w:ascii="Arial" w:hAnsi="Arial" w:cs="Arial"/>
        </w:rPr>
        <w:t xml:space="preserve">nadviazal na predchádzajúcu pracovnú skupinu, ktorá sa konala v júni 2021 a predstavil iniciatívy MIRRI SR v tejto téme, ktorými je obstarávanie </w:t>
      </w:r>
      <w:proofErr w:type="spellStart"/>
      <w:r w:rsidR="00642D9B">
        <w:rPr>
          <w:rFonts w:ascii="Arial" w:hAnsi="Arial" w:cs="Arial"/>
        </w:rPr>
        <w:t>cloudových</w:t>
      </w:r>
      <w:proofErr w:type="spellEnd"/>
      <w:r w:rsidR="00642D9B">
        <w:rPr>
          <w:rFonts w:ascii="Arial" w:hAnsi="Arial" w:cs="Arial"/>
        </w:rPr>
        <w:t xml:space="preserve"> služieb v rámci projektu „</w:t>
      </w:r>
      <w:proofErr w:type="spellStart"/>
      <w:r w:rsidR="00642D9B">
        <w:rPr>
          <w:rFonts w:ascii="Arial" w:hAnsi="Arial" w:cs="Arial"/>
        </w:rPr>
        <w:t>open</w:t>
      </w:r>
      <w:proofErr w:type="spellEnd"/>
      <w:r w:rsidR="00642D9B">
        <w:rPr>
          <w:rFonts w:ascii="Arial" w:hAnsi="Arial" w:cs="Arial"/>
        </w:rPr>
        <w:t xml:space="preserve"> </w:t>
      </w:r>
      <w:proofErr w:type="spellStart"/>
      <w:r w:rsidR="00642D9B">
        <w:rPr>
          <w:rFonts w:ascii="Arial" w:hAnsi="Arial" w:cs="Arial"/>
        </w:rPr>
        <w:t>data</w:t>
      </w:r>
      <w:proofErr w:type="spellEnd"/>
      <w:r w:rsidR="00642D9B">
        <w:rPr>
          <w:rFonts w:ascii="Arial" w:hAnsi="Arial" w:cs="Arial"/>
        </w:rPr>
        <w:t xml:space="preserve">“ a zámer vytvoriť centrálny kanál pre nákup </w:t>
      </w:r>
      <w:proofErr w:type="spellStart"/>
      <w:r w:rsidR="00642D9B">
        <w:rPr>
          <w:rFonts w:ascii="Arial" w:hAnsi="Arial" w:cs="Arial"/>
        </w:rPr>
        <w:t>cloudových</w:t>
      </w:r>
      <w:proofErr w:type="spellEnd"/>
      <w:r w:rsidR="00642D9B">
        <w:rPr>
          <w:rFonts w:ascii="Arial" w:hAnsi="Arial" w:cs="Arial"/>
        </w:rPr>
        <w:t xml:space="preserve"> služieb vo forme </w:t>
      </w:r>
      <w:proofErr w:type="spellStart"/>
      <w:r w:rsidR="00642D9B">
        <w:rPr>
          <w:rFonts w:ascii="Arial" w:hAnsi="Arial" w:cs="Arial"/>
        </w:rPr>
        <w:t>cloudových</w:t>
      </w:r>
      <w:proofErr w:type="spellEnd"/>
      <w:r w:rsidR="00642D9B">
        <w:rPr>
          <w:rFonts w:ascii="Arial" w:hAnsi="Arial" w:cs="Arial"/>
        </w:rPr>
        <w:t xml:space="preserve"> kreditov. Do témy sa zapojil za MIRRI p</w:t>
      </w:r>
      <w:r w:rsidR="005E3D35">
        <w:rPr>
          <w:rFonts w:ascii="Arial" w:hAnsi="Arial" w:cs="Arial"/>
        </w:rPr>
        <w:t>án</w:t>
      </w:r>
      <w:r w:rsidR="00642D9B">
        <w:rPr>
          <w:rFonts w:ascii="Arial" w:hAnsi="Arial" w:cs="Arial"/>
        </w:rPr>
        <w:t xml:space="preserve"> Svetlošák, ktorý priblížil proces opisu predmetu zákazky a určovanie predpokladanej hodnoty zákazky (ďalej len „</w:t>
      </w:r>
      <w:r w:rsidR="00642D9B" w:rsidRPr="00642D9B">
        <w:rPr>
          <w:rFonts w:ascii="Arial" w:hAnsi="Arial" w:cs="Arial"/>
          <w:b/>
          <w:i/>
        </w:rPr>
        <w:t>PHZ</w:t>
      </w:r>
      <w:r w:rsidR="00642D9B">
        <w:rPr>
          <w:rFonts w:ascii="Arial" w:hAnsi="Arial" w:cs="Arial"/>
        </w:rPr>
        <w:t xml:space="preserve">“). Taktiež boli zmienené technické vlastnosti a špecifiká </w:t>
      </w:r>
      <w:proofErr w:type="spellStart"/>
      <w:r w:rsidR="00642D9B">
        <w:rPr>
          <w:rFonts w:ascii="Arial" w:hAnsi="Arial" w:cs="Arial"/>
        </w:rPr>
        <w:t>cloudových</w:t>
      </w:r>
      <w:proofErr w:type="spellEnd"/>
      <w:r w:rsidR="00642D9B">
        <w:rPr>
          <w:rFonts w:ascii="Arial" w:hAnsi="Arial" w:cs="Arial"/>
        </w:rPr>
        <w:t xml:space="preserve"> služieb. Zástupcovia MIRRI SR k tejto téme </w:t>
      </w:r>
      <w:r w:rsidR="000A3B2C">
        <w:rPr>
          <w:rFonts w:ascii="Arial" w:hAnsi="Arial" w:cs="Arial"/>
        </w:rPr>
        <w:t>konštatovali prípravu metodického usmerneni</w:t>
      </w:r>
      <w:r w:rsidR="005E3D35">
        <w:rPr>
          <w:rFonts w:ascii="Arial" w:hAnsi="Arial" w:cs="Arial"/>
        </w:rPr>
        <w:t>a</w:t>
      </w:r>
      <w:r w:rsidR="000A3B2C">
        <w:rPr>
          <w:rFonts w:ascii="Arial" w:hAnsi="Arial" w:cs="Arial"/>
        </w:rPr>
        <w:t xml:space="preserve">, ktoré bude zohľadňovať špecifiká obstarávania </w:t>
      </w:r>
      <w:proofErr w:type="spellStart"/>
      <w:r w:rsidR="000A3B2C">
        <w:rPr>
          <w:rFonts w:ascii="Arial" w:hAnsi="Arial" w:cs="Arial"/>
        </w:rPr>
        <w:t>cloudových</w:t>
      </w:r>
      <w:proofErr w:type="spellEnd"/>
      <w:r w:rsidR="000A3B2C">
        <w:rPr>
          <w:rFonts w:ascii="Arial" w:hAnsi="Arial" w:cs="Arial"/>
        </w:rPr>
        <w:t xml:space="preserve"> služieb. Do témy sa zapojil p. Luhový za ÚVO, ktorý spomenul ako alternatívu</w:t>
      </w:r>
      <w:r w:rsidR="005E3D35">
        <w:rPr>
          <w:rFonts w:ascii="Arial" w:hAnsi="Arial" w:cs="Arial"/>
        </w:rPr>
        <w:t>,</w:t>
      </w:r>
      <w:r w:rsidR="000A3B2C">
        <w:rPr>
          <w:rFonts w:ascii="Arial" w:hAnsi="Arial" w:cs="Arial"/>
        </w:rPr>
        <w:t xml:space="preserve"> využitie postupov súťažného dialógu. </w:t>
      </w:r>
      <w:r w:rsidR="00A862D5">
        <w:rPr>
          <w:rFonts w:ascii="Arial" w:hAnsi="Arial" w:cs="Arial"/>
        </w:rPr>
        <w:t>P</w:t>
      </w:r>
      <w:r w:rsidR="005E3D35">
        <w:rPr>
          <w:rFonts w:ascii="Arial" w:hAnsi="Arial" w:cs="Arial"/>
        </w:rPr>
        <w:t>án</w:t>
      </w:r>
      <w:r w:rsidR="00135B59">
        <w:rPr>
          <w:rFonts w:ascii="Arial" w:hAnsi="Arial" w:cs="Arial"/>
        </w:rPr>
        <w:t xml:space="preserve"> Marek zástupca ITAS vo vzťahu k problematike prezentoval</w:t>
      </w:r>
      <w:r w:rsidR="00A862D5">
        <w:rPr>
          <w:rFonts w:ascii="Arial" w:hAnsi="Arial" w:cs="Arial"/>
        </w:rPr>
        <w:t xml:space="preserve"> názor, že pri obstarávaní softvérového diela je potrebné ponechať na uchádzača požiadavky na infraštruktúru (vrátane </w:t>
      </w:r>
      <w:proofErr w:type="spellStart"/>
      <w:r w:rsidR="00A862D5">
        <w:rPr>
          <w:rFonts w:ascii="Arial" w:hAnsi="Arial" w:cs="Arial"/>
        </w:rPr>
        <w:t>cloudu</w:t>
      </w:r>
      <w:proofErr w:type="spellEnd"/>
      <w:r w:rsidR="00A862D5">
        <w:rPr>
          <w:rFonts w:ascii="Arial" w:hAnsi="Arial" w:cs="Arial"/>
        </w:rPr>
        <w:t xml:space="preserve">) a v prípade </w:t>
      </w:r>
      <w:r w:rsidR="00A862D5">
        <w:rPr>
          <w:rFonts w:ascii="Arial" w:hAnsi="Arial" w:cs="Arial"/>
        </w:rPr>
        <w:lastRenderedPageBreak/>
        <w:t>ak takúto požiadavku nesprávne definoval, znáša náklady na dodatočné zabezpečenie infraštruktúry. Určite by toto nemalo byť na pleciach verejného obstarávateľa. P</w:t>
      </w:r>
      <w:r w:rsidR="005E3D35">
        <w:rPr>
          <w:rFonts w:ascii="Arial" w:hAnsi="Arial" w:cs="Arial"/>
        </w:rPr>
        <w:t>án</w:t>
      </w:r>
      <w:r w:rsidR="00A862D5">
        <w:rPr>
          <w:rFonts w:ascii="Arial" w:hAnsi="Arial" w:cs="Arial"/>
        </w:rPr>
        <w:t xml:space="preserve"> Minarovič ako zástupca </w:t>
      </w:r>
      <w:proofErr w:type="spellStart"/>
      <w:r w:rsidR="00A862D5">
        <w:rPr>
          <w:rFonts w:ascii="Arial" w:hAnsi="Arial" w:cs="Arial"/>
        </w:rPr>
        <w:t>MDaV</w:t>
      </w:r>
      <w:proofErr w:type="spellEnd"/>
      <w:r w:rsidR="00A862D5">
        <w:rPr>
          <w:rFonts w:ascii="Arial" w:hAnsi="Arial" w:cs="Arial"/>
        </w:rPr>
        <w:t xml:space="preserve"> </w:t>
      </w:r>
      <w:bookmarkStart w:id="0" w:name="_GoBack"/>
      <w:bookmarkEnd w:id="0"/>
      <w:r w:rsidR="00A862D5">
        <w:rPr>
          <w:rFonts w:ascii="Arial" w:hAnsi="Arial" w:cs="Arial"/>
        </w:rPr>
        <w:t>SR uviedol, že súťažný dialóg ni</w:t>
      </w:r>
      <w:r w:rsidR="00416810">
        <w:rPr>
          <w:rFonts w:ascii="Arial" w:hAnsi="Arial" w:cs="Arial"/>
        </w:rPr>
        <w:t>e je správnym riešením a taktiež konštatoval, že pri vyhodnocovaní víťazného uchádzača takéhoto projektu treba zohľadňovať celkovú cenu dodávky</w:t>
      </w:r>
      <w:r w:rsidR="005E3D35">
        <w:rPr>
          <w:rFonts w:ascii="Arial" w:hAnsi="Arial" w:cs="Arial"/>
        </w:rPr>
        <w:t>,</w:t>
      </w:r>
      <w:r w:rsidR="00416810">
        <w:rPr>
          <w:rFonts w:ascii="Arial" w:hAnsi="Arial" w:cs="Arial"/>
        </w:rPr>
        <w:t xml:space="preserve"> ako aj cenu za potrebné </w:t>
      </w:r>
      <w:proofErr w:type="spellStart"/>
      <w:r w:rsidR="00416810">
        <w:rPr>
          <w:rFonts w:ascii="Arial" w:hAnsi="Arial" w:cs="Arial"/>
        </w:rPr>
        <w:t>cloudové</w:t>
      </w:r>
      <w:proofErr w:type="spellEnd"/>
      <w:r w:rsidR="008967F0">
        <w:rPr>
          <w:rFonts w:ascii="Arial" w:hAnsi="Arial" w:cs="Arial"/>
        </w:rPr>
        <w:t xml:space="preserve"> služby. Záverom pani </w:t>
      </w:r>
      <w:proofErr w:type="spellStart"/>
      <w:r w:rsidR="008967F0">
        <w:rPr>
          <w:rFonts w:ascii="Arial" w:hAnsi="Arial" w:cs="Arial"/>
        </w:rPr>
        <w:t>Cigánekova</w:t>
      </w:r>
      <w:proofErr w:type="spellEnd"/>
      <w:r w:rsidR="00416810">
        <w:rPr>
          <w:rFonts w:ascii="Arial" w:hAnsi="Arial" w:cs="Arial"/>
        </w:rPr>
        <w:t xml:space="preserve"> požiadala o posúdenie požiad</w:t>
      </w:r>
      <w:r w:rsidR="005E3D35">
        <w:rPr>
          <w:rFonts w:ascii="Arial" w:hAnsi="Arial" w:cs="Arial"/>
        </w:rPr>
        <w:t>avky zaslanej MIRRI SR e-mailom a zástupcovia MIRRI SR prisľúbili písomné zodpovedanie dotazov.</w:t>
      </w:r>
      <w:r w:rsidR="00416810">
        <w:rPr>
          <w:rFonts w:ascii="Arial" w:hAnsi="Arial" w:cs="Arial"/>
        </w:rPr>
        <w:t xml:space="preserve"> </w:t>
      </w:r>
    </w:p>
    <w:p w14:paraId="013FE128" w14:textId="272E7567" w:rsidR="00416810" w:rsidRDefault="00416810" w:rsidP="00F60497">
      <w:pPr>
        <w:tabs>
          <w:tab w:val="left" w:pos="0"/>
        </w:tabs>
        <w:jc w:val="both"/>
        <w:rPr>
          <w:rFonts w:ascii="Arial" w:hAnsi="Arial" w:cs="Arial"/>
        </w:rPr>
      </w:pPr>
    </w:p>
    <w:p w14:paraId="3C5ABEF2" w14:textId="3FDF5B70" w:rsidR="00416810" w:rsidRPr="00416810" w:rsidRDefault="00416810" w:rsidP="00F60497">
      <w:pPr>
        <w:tabs>
          <w:tab w:val="left" w:pos="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Záver: </w:t>
      </w:r>
      <w:r w:rsidRPr="00416810">
        <w:rPr>
          <w:rFonts w:ascii="Arial" w:hAnsi="Arial" w:cs="Arial"/>
          <w:b/>
        </w:rPr>
        <w:t xml:space="preserve">MIRRI SR bude informovať pracovnú skupinu o výsledkoch verejného obstarávania </w:t>
      </w:r>
      <w:proofErr w:type="spellStart"/>
      <w:r w:rsidRPr="00416810">
        <w:rPr>
          <w:rFonts w:ascii="Arial" w:hAnsi="Arial" w:cs="Arial"/>
          <w:b/>
        </w:rPr>
        <w:t>cloudových</w:t>
      </w:r>
      <w:proofErr w:type="spellEnd"/>
      <w:r w:rsidRPr="00416810">
        <w:rPr>
          <w:rFonts w:ascii="Arial" w:hAnsi="Arial" w:cs="Arial"/>
          <w:b/>
        </w:rPr>
        <w:t xml:space="preserve"> služieb v rámci pilotného projektu a tiež predstaví konkrétny návrh centrálneho rámca/rámcov pre obstarávania </w:t>
      </w:r>
      <w:proofErr w:type="spellStart"/>
      <w:r w:rsidRPr="00416810">
        <w:rPr>
          <w:rFonts w:ascii="Arial" w:hAnsi="Arial" w:cs="Arial"/>
          <w:b/>
        </w:rPr>
        <w:t>cloudových</w:t>
      </w:r>
      <w:proofErr w:type="spellEnd"/>
      <w:r w:rsidRPr="00416810">
        <w:rPr>
          <w:rFonts w:ascii="Arial" w:hAnsi="Arial" w:cs="Arial"/>
          <w:b/>
        </w:rPr>
        <w:t xml:space="preserve"> služieb.</w:t>
      </w:r>
    </w:p>
    <w:p w14:paraId="51DEB4D4" w14:textId="77777777" w:rsidR="00FC20D6" w:rsidRPr="00783B67" w:rsidRDefault="00FC20D6" w:rsidP="00FC20D6">
      <w:pPr>
        <w:tabs>
          <w:tab w:val="left" w:pos="0"/>
        </w:tabs>
        <w:spacing w:after="0"/>
        <w:jc w:val="both"/>
        <w:rPr>
          <w:rFonts w:ascii="Arial" w:hAnsi="Arial" w:cs="Arial"/>
          <w:b/>
        </w:rPr>
      </w:pPr>
    </w:p>
    <w:p w14:paraId="3E43CE3A" w14:textId="663EE378" w:rsidR="00783B67" w:rsidRPr="00595280" w:rsidRDefault="00416810" w:rsidP="00595280">
      <w:pPr>
        <w:pStyle w:val="Odsekzoznamu"/>
        <w:numPr>
          <w:ilvl w:val="0"/>
          <w:numId w:val="9"/>
        </w:numPr>
        <w:ind w:left="426" w:hanging="426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Návrh zmeny prílohy č. 6 koncepcie nákupu IT vo verejnej správe (</w:t>
      </w:r>
      <w:r w:rsidR="00D47353">
        <w:rPr>
          <w:rFonts w:ascii="Arial" w:hAnsi="Arial" w:cs="Arial"/>
          <w:b/>
          <w:color w:val="000000" w:themeColor="text1"/>
        </w:rPr>
        <w:t>rozdeľovanie IT zákaziek na časti)</w:t>
      </w:r>
    </w:p>
    <w:p w14:paraId="381E8891" w14:textId="2E099464" w:rsidR="00CB66E9" w:rsidRDefault="00783B67" w:rsidP="00EF324A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Predseda pracovnej skupiny predstavil </w:t>
      </w:r>
      <w:r w:rsidR="008967F0">
        <w:rPr>
          <w:rFonts w:ascii="Arial" w:hAnsi="Arial" w:cs="Arial"/>
        </w:rPr>
        <w:t>návrh revidovať prílohy č. 6</w:t>
      </w:r>
      <w:r w:rsidR="004554D2">
        <w:rPr>
          <w:rFonts w:ascii="Arial" w:hAnsi="Arial" w:cs="Arial"/>
        </w:rPr>
        <w:t xml:space="preserve"> koncepcie nákupu IT vo verejnej správe (ďalej len „</w:t>
      </w:r>
      <w:r w:rsidR="004554D2" w:rsidRPr="004554D2">
        <w:rPr>
          <w:rFonts w:ascii="Arial" w:hAnsi="Arial" w:cs="Arial"/>
          <w:b/>
        </w:rPr>
        <w:t>príloha č.6</w:t>
      </w:r>
      <w:r w:rsidR="004554D2">
        <w:rPr>
          <w:rFonts w:ascii="Arial" w:hAnsi="Arial" w:cs="Arial"/>
        </w:rPr>
        <w:t>“)</w:t>
      </w:r>
      <w:r>
        <w:rPr>
          <w:rFonts w:ascii="Arial" w:hAnsi="Arial" w:cs="Arial"/>
        </w:rPr>
        <w:t>,</w:t>
      </w:r>
      <w:r w:rsidR="008967F0">
        <w:rPr>
          <w:rFonts w:ascii="Arial" w:hAnsi="Arial" w:cs="Arial"/>
        </w:rPr>
        <w:t xml:space="preserve"> z dôvodu úlohy z revízie výdavkov IT spadajúcej do gescie MIRRI SR, ako aj z dôvodu existencie inštitútu „</w:t>
      </w:r>
      <w:proofErr w:type="spellStart"/>
      <w:r w:rsidR="008967F0">
        <w:rPr>
          <w:rFonts w:ascii="Arial" w:hAnsi="Arial" w:cs="Arial"/>
        </w:rPr>
        <w:t>inkrement</w:t>
      </w:r>
      <w:proofErr w:type="spellEnd"/>
      <w:r w:rsidR="008967F0">
        <w:rPr>
          <w:rFonts w:ascii="Arial" w:hAnsi="Arial" w:cs="Arial"/>
        </w:rPr>
        <w:t>“, ktorý vyplýva z vyhlášky č. 85/2020</w:t>
      </w:r>
      <w:r w:rsidR="004554D2">
        <w:rPr>
          <w:rFonts w:ascii="Arial" w:hAnsi="Arial" w:cs="Arial"/>
        </w:rPr>
        <w:t xml:space="preserve"> Z. z. o riadení projektov. V rámci revízie prílohy č. 6 MIRRI SR navrhuje zmeniť prístup k dĺžke SLA po implementácii diela vrátane zmeny prístupu k dĺžke opcií. P</w:t>
      </w:r>
      <w:r w:rsidR="005E3D35">
        <w:rPr>
          <w:rFonts w:ascii="Arial" w:hAnsi="Arial" w:cs="Arial"/>
        </w:rPr>
        <w:t>án</w:t>
      </w:r>
      <w:r w:rsidR="004554D2">
        <w:rPr>
          <w:rFonts w:ascii="Arial" w:hAnsi="Arial" w:cs="Arial"/>
        </w:rPr>
        <w:t xml:space="preserve"> Bezek vysvetlil myšlienku, ktorá je za zmenou, tzn. ide o snahu vyhnúť sa taký</w:t>
      </w:r>
      <w:r w:rsidR="005E3D35">
        <w:rPr>
          <w:rFonts w:ascii="Arial" w:hAnsi="Arial" w:cs="Arial"/>
        </w:rPr>
        <w:t xml:space="preserve">m postupom kedy sa SLA obstará </w:t>
      </w:r>
      <w:r w:rsidR="004554D2">
        <w:rPr>
          <w:rFonts w:ascii="Arial" w:hAnsi="Arial" w:cs="Arial"/>
        </w:rPr>
        <w:t>na 5 rokov a jej súčasťou bude opcia na ďalších 5 rokov. Návrh MIRRI SR je nastaviť koncept s rozsahom v trvaní SLA 3</w:t>
      </w:r>
      <w:r w:rsidR="005E3D35">
        <w:rPr>
          <w:rFonts w:ascii="Arial" w:hAnsi="Arial" w:cs="Arial"/>
        </w:rPr>
        <w:t xml:space="preserve"> </w:t>
      </w:r>
      <w:r w:rsidR="004554D2">
        <w:rPr>
          <w:rFonts w:ascii="Arial" w:hAnsi="Arial" w:cs="Arial"/>
        </w:rPr>
        <w:t>roky a opciou na ďalšie dva roky. P</w:t>
      </w:r>
      <w:r w:rsidR="005E3D35">
        <w:rPr>
          <w:rFonts w:ascii="Arial" w:hAnsi="Arial" w:cs="Arial"/>
        </w:rPr>
        <w:t>án</w:t>
      </w:r>
      <w:r w:rsidR="004554D2">
        <w:rPr>
          <w:rFonts w:ascii="Arial" w:hAnsi="Arial" w:cs="Arial"/>
        </w:rPr>
        <w:t xml:space="preserve"> Marek ako zástupca ITAS uviedol, že opcia mala byť ponímaná ako možnosť predĺžiť SLA v prípade spokojnosti a to postupne, zakaždým o 1 rok. </w:t>
      </w:r>
      <w:r w:rsidR="005E3D35">
        <w:rPr>
          <w:rFonts w:ascii="Arial" w:hAnsi="Arial" w:cs="Arial"/>
        </w:rPr>
        <w:t>Zároveň</w:t>
      </w:r>
      <w:r w:rsidR="004554D2">
        <w:rPr>
          <w:rFonts w:ascii="Arial" w:hAnsi="Arial" w:cs="Arial"/>
        </w:rPr>
        <w:t xml:space="preserve"> dodal, že režim, v ktorom prinútime verejného obstarávateľa obstarávať každých 5 rokov, bez možnosti ďalšej opcie nie je dobrým riešením a dodal, že musíme pri novom obstarávaní zohľadniť tranzitívne náklady (mini</w:t>
      </w:r>
      <w:r w:rsidR="005E3D35">
        <w:rPr>
          <w:rFonts w:ascii="Arial" w:hAnsi="Arial" w:cs="Arial"/>
        </w:rPr>
        <w:t>málne suma ročnej prevádzky informačného systému</w:t>
      </w:r>
      <w:r w:rsidR="004554D2">
        <w:rPr>
          <w:rFonts w:ascii="Arial" w:hAnsi="Arial" w:cs="Arial"/>
        </w:rPr>
        <w:t xml:space="preserve">). </w:t>
      </w:r>
      <w:r w:rsidR="00960DC0">
        <w:rPr>
          <w:rFonts w:ascii="Arial" w:hAnsi="Arial" w:cs="Arial"/>
        </w:rPr>
        <w:t>P</w:t>
      </w:r>
      <w:r w:rsidR="005E3D35">
        <w:rPr>
          <w:rFonts w:ascii="Arial" w:hAnsi="Arial" w:cs="Arial"/>
        </w:rPr>
        <w:t xml:space="preserve">án </w:t>
      </w:r>
      <w:r w:rsidR="00960DC0">
        <w:rPr>
          <w:rFonts w:ascii="Arial" w:hAnsi="Arial" w:cs="Arial"/>
        </w:rPr>
        <w:t xml:space="preserve">Minarovič dodal, že týmto návrhom by sme skrátili de </w:t>
      </w:r>
      <w:proofErr w:type="spellStart"/>
      <w:r w:rsidR="00960DC0">
        <w:rPr>
          <w:rFonts w:ascii="Arial" w:hAnsi="Arial" w:cs="Arial"/>
        </w:rPr>
        <w:t>facto</w:t>
      </w:r>
      <w:proofErr w:type="spellEnd"/>
      <w:r w:rsidR="00960DC0">
        <w:rPr>
          <w:rFonts w:ascii="Arial" w:hAnsi="Arial" w:cs="Arial"/>
        </w:rPr>
        <w:t xml:space="preserve"> </w:t>
      </w:r>
      <w:r w:rsidR="005E3D35">
        <w:rPr>
          <w:rFonts w:ascii="Arial" w:hAnsi="Arial" w:cs="Arial"/>
        </w:rPr>
        <w:t xml:space="preserve">trvanie </w:t>
      </w:r>
      <w:r w:rsidR="00960DC0">
        <w:rPr>
          <w:rFonts w:ascii="Arial" w:hAnsi="Arial" w:cs="Arial"/>
        </w:rPr>
        <w:t xml:space="preserve">SLA na 5 rokov, pričom sme konštatovali v koncepcii nákupu IT, že dĺžka SLA by mala zohľadňovať životnosť ISVS. Argument MIRRI SR za touto zmenou je ten, že v opcii vidí fixovanie ceny na dlhé obdobie do budúcnosti. </w:t>
      </w:r>
      <w:r w:rsidR="00EF324A">
        <w:rPr>
          <w:rFonts w:ascii="Arial" w:hAnsi="Arial" w:cs="Arial"/>
        </w:rPr>
        <w:t xml:space="preserve">V rámci diskusie došlo k zhode </w:t>
      </w:r>
      <w:proofErr w:type="spellStart"/>
      <w:r w:rsidR="00EF324A">
        <w:rPr>
          <w:rFonts w:ascii="Arial" w:hAnsi="Arial" w:cs="Arial"/>
        </w:rPr>
        <w:t>nato</w:t>
      </w:r>
      <w:r w:rsidR="005E3D35">
        <w:rPr>
          <w:rFonts w:ascii="Arial" w:hAnsi="Arial" w:cs="Arial"/>
        </w:rPr>
        <w:t>m</w:t>
      </w:r>
      <w:proofErr w:type="spellEnd"/>
      <w:r w:rsidR="00EF324A">
        <w:rPr>
          <w:rFonts w:ascii="Arial" w:hAnsi="Arial" w:cs="Arial"/>
        </w:rPr>
        <w:t xml:space="preserve">, že do revízie prílohy č. 6 by mohla byť transponovaná zmena v znení, že SLA by nebola skrátená na 5 rokov, ale bola by doplnená opcia na ďalších 5 rokov, s tým že predĺženie by mohlo byť realizované výlučne na 1 rok a to 5 krát za sebou. </w:t>
      </w:r>
    </w:p>
    <w:p w14:paraId="2117ECA8" w14:textId="216294EE" w:rsidR="00CB66E9" w:rsidRPr="00FC20D6" w:rsidRDefault="00EF324A" w:rsidP="00FC20D6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Záver</w:t>
      </w:r>
      <w:r w:rsidR="00CB66E9" w:rsidRPr="00FC20D6">
        <w:rPr>
          <w:rFonts w:ascii="Arial" w:hAnsi="Arial" w:cs="Arial"/>
        </w:rPr>
        <w:t xml:space="preserve">: </w:t>
      </w:r>
    </w:p>
    <w:p w14:paraId="2DDEABB8" w14:textId="44C7F64B" w:rsidR="00CB66E9" w:rsidRDefault="00CB66E9" w:rsidP="00FC20D6">
      <w:pPr>
        <w:tabs>
          <w:tab w:val="left" w:pos="0"/>
        </w:tabs>
        <w:spacing w:after="0"/>
        <w:jc w:val="both"/>
        <w:rPr>
          <w:rFonts w:ascii="Arial" w:hAnsi="Arial" w:cs="Arial"/>
          <w:b/>
        </w:rPr>
      </w:pPr>
      <w:r w:rsidRPr="00783B67">
        <w:rPr>
          <w:rFonts w:ascii="Arial" w:hAnsi="Arial" w:cs="Arial"/>
          <w:b/>
        </w:rPr>
        <w:t xml:space="preserve">Predseda pracovnej skupiny </w:t>
      </w:r>
      <w:r w:rsidR="00EF324A">
        <w:rPr>
          <w:rFonts w:ascii="Arial" w:hAnsi="Arial" w:cs="Arial"/>
          <w:b/>
        </w:rPr>
        <w:t>zašle členom pracovnej skupiny návrh revízie prílohy č. 6, s tým že zmeny týkajúce sa dĺžky SLA vrátane realizácie opcií budú dohodnuté detailne medzi niektorými účastníkmi.</w:t>
      </w:r>
    </w:p>
    <w:p w14:paraId="46407533" w14:textId="77777777" w:rsidR="00EF324A" w:rsidRDefault="00EF324A" w:rsidP="00FC20D6">
      <w:pPr>
        <w:tabs>
          <w:tab w:val="left" w:pos="0"/>
        </w:tabs>
        <w:spacing w:after="0"/>
        <w:jc w:val="both"/>
        <w:rPr>
          <w:rFonts w:ascii="Arial" w:hAnsi="Arial" w:cs="Arial"/>
          <w:b/>
        </w:rPr>
      </w:pPr>
    </w:p>
    <w:p w14:paraId="052D33EE" w14:textId="319AFA11" w:rsidR="00CB66E9" w:rsidRPr="00595280" w:rsidRDefault="00EF324A" w:rsidP="00595280">
      <w:pPr>
        <w:pStyle w:val="Odsekzoznamu"/>
        <w:numPr>
          <w:ilvl w:val="0"/>
          <w:numId w:val="9"/>
        </w:numPr>
        <w:tabs>
          <w:tab w:val="left" w:pos="0"/>
        </w:tabs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Novela zákona o ITVS</w:t>
      </w:r>
    </w:p>
    <w:p w14:paraId="1A353BD4" w14:textId="1C549078" w:rsidR="00A25693" w:rsidRDefault="00A25693" w:rsidP="00F60497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Predseda pracovnej skupiny na úvod uviedol, </w:t>
      </w:r>
      <w:r w:rsidR="00EF324A">
        <w:rPr>
          <w:rFonts w:ascii="Arial" w:hAnsi="Arial" w:cs="Arial"/>
        </w:rPr>
        <w:t xml:space="preserve">že v procese je novela zákona o ITVS a v prípade potreby zmeny ustanovení týkajúcich sa povinností pri obstarávaní informačných technológií je na mieste otvoriť diskusiu k prípadným zmenám. Konkrétne bol spomenutý explicitný odkaz na využívanie licencie EUPL a modifikácia tohto ustanovenia. </w:t>
      </w:r>
      <w:r w:rsidR="001B6A27">
        <w:rPr>
          <w:rFonts w:ascii="Arial" w:hAnsi="Arial" w:cs="Arial"/>
        </w:rPr>
        <w:t>P</w:t>
      </w:r>
      <w:r w:rsidR="00CE6909">
        <w:rPr>
          <w:rFonts w:ascii="Arial" w:hAnsi="Arial" w:cs="Arial"/>
        </w:rPr>
        <w:t>án</w:t>
      </w:r>
      <w:r w:rsidR="001B6A27">
        <w:rPr>
          <w:rFonts w:ascii="Arial" w:hAnsi="Arial" w:cs="Arial"/>
        </w:rPr>
        <w:t xml:space="preserve"> Marek </w:t>
      </w:r>
      <w:r w:rsidR="00993946">
        <w:rPr>
          <w:rFonts w:ascii="Arial" w:hAnsi="Arial" w:cs="Arial"/>
        </w:rPr>
        <w:t xml:space="preserve">konštatoval, že uvedené ustanovenie nejasným spôsobom odkazuje na kybernetickú bezpečnosť a súvisiace aspekty, pričom tiež uviedol, že dnes už máme koncept, v rámci ktorého sa podarilo rozdeliť </w:t>
      </w:r>
      <w:proofErr w:type="spellStart"/>
      <w:r w:rsidR="00993946">
        <w:rPr>
          <w:rFonts w:ascii="Arial" w:hAnsi="Arial" w:cs="Arial"/>
        </w:rPr>
        <w:t>licencovanie</w:t>
      </w:r>
      <w:proofErr w:type="spellEnd"/>
      <w:r w:rsidR="00993946">
        <w:rPr>
          <w:rFonts w:ascii="Arial" w:hAnsi="Arial" w:cs="Arial"/>
        </w:rPr>
        <w:t xml:space="preserve"> diela na takzvanú </w:t>
      </w:r>
      <w:proofErr w:type="spellStart"/>
      <w:r w:rsidR="00993946">
        <w:rPr>
          <w:rFonts w:ascii="Arial" w:hAnsi="Arial" w:cs="Arial"/>
        </w:rPr>
        <w:t>custom</w:t>
      </w:r>
      <w:proofErr w:type="spellEnd"/>
      <w:r w:rsidR="00993946">
        <w:rPr>
          <w:rFonts w:ascii="Arial" w:hAnsi="Arial" w:cs="Arial"/>
        </w:rPr>
        <w:t xml:space="preserve"> časť a takzvanú modulárnu časť (táto môže byť do</w:t>
      </w:r>
      <w:r w:rsidR="00CE6909">
        <w:rPr>
          <w:rFonts w:ascii="Arial" w:hAnsi="Arial" w:cs="Arial"/>
        </w:rPr>
        <w:t>dávaná aj ako EUPL licencia). Pán</w:t>
      </w:r>
      <w:r w:rsidR="00993946">
        <w:rPr>
          <w:rFonts w:ascii="Arial" w:hAnsi="Arial" w:cs="Arial"/>
        </w:rPr>
        <w:t xml:space="preserve"> Machel k danej téme uviedol, že </w:t>
      </w:r>
      <w:r w:rsidR="00993946">
        <w:rPr>
          <w:rFonts w:ascii="Arial" w:hAnsi="Arial" w:cs="Arial"/>
        </w:rPr>
        <w:lastRenderedPageBreak/>
        <w:t>štátna a verejná správa by mala uvažovať o inšpirácii Veľkou Britániou vo veci vytvorenia vlastnej licencie a licenčných podmienok verejnej správy. K tejto téme predseda pracovnej skupiny uviedol, že táto iniciatíva je rokovaná na vyššej úrovni, ale nejde v súčasnosti o tému na fórum tejto pracovnej skupiny. P</w:t>
      </w:r>
      <w:r w:rsidR="00CE6909">
        <w:rPr>
          <w:rFonts w:ascii="Arial" w:hAnsi="Arial" w:cs="Arial"/>
        </w:rPr>
        <w:t>án</w:t>
      </w:r>
      <w:r w:rsidR="00993946">
        <w:rPr>
          <w:rFonts w:ascii="Arial" w:hAnsi="Arial" w:cs="Arial"/>
        </w:rPr>
        <w:t xml:space="preserve"> Marek na záver dodal, že je na mieste uvažovať o zmene paragrafového znenia týkajúceho sa EUPL licencie, takým spôsobom aby bolo znenie zákona o ITVS zrozumiteľnejšie. </w:t>
      </w:r>
    </w:p>
    <w:p w14:paraId="720F8757" w14:textId="7196DB54" w:rsidR="00890E8C" w:rsidRDefault="00344E4C" w:rsidP="001D30FC">
      <w:pPr>
        <w:pStyle w:val="Odsekzoznamu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Záver: </w:t>
      </w:r>
      <w:r w:rsidRPr="00344E4C">
        <w:rPr>
          <w:rFonts w:ascii="Arial" w:hAnsi="Arial" w:cs="Arial"/>
          <w:b/>
        </w:rPr>
        <w:t>MIRRI SR po prerokovaní s odborom zodpovedným za návrh novely zákona o ITVS zistí možnosti zmeny tohto ustanovenia a v prípade potreby predloží návrh právnej úpravy na pracovnú skupinu.</w:t>
      </w:r>
      <w:r>
        <w:rPr>
          <w:rFonts w:ascii="Arial" w:hAnsi="Arial" w:cs="Arial"/>
        </w:rPr>
        <w:t xml:space="preserve"> </w:t>
      </w:r>
    </w:p>
    <w:p w14:paraId="43692053" w14:textId="06E30B11" w:rsidR="00CE6909" w:rsidRDefault="00CE6909" w:rsidP="001D30FC">
      <w:pPr>
        <w:pStyle w:val="Odsekzoznamu"/>
        <w:ind w:left="0"/>
        <w:jc w:val="both"/>
        <w:rPr>
          <w:rFonts w:ascii="Arial" w:hAnsi="Arial" w:cs="Arial"/>
        </w:rPr>
      </w:pPr>
    </w:p>
    <w:p w14:paraId="4F2C4984" w14:textId="191FED26" w:rsidR="00CE6909" w:rsidRPr="001D30FC" w:rsidRDefault="00CE6909" w:rsidP="001D30FC">
      <w:pPr>
        <w:pStyle w:val="Odsekzoznamu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Predseda pracovnej skupiny ukončil zasadnutie pracovnej skupiny. </w:t>
      </w:r>
    </w:p>
    <w:sectPr w:rsidR="00CE6909" w:rsidRPr="001D30FC" w:rsidSect="005912D6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97ECF" w14:textId="77777777" w:rsidR="00273C24" w:rsidRDefault="00273C24" w:rsidP="00693ED0">
      <w:pPr>
        <w:spacing w:after="0" w:line="240" w:lineRule="auto"/>
      </w:pPr>
      <w:r>
        <w:separator/>
      </w:r>
    </w:p>
  </w:endnote>
  <w:endnote w:type="continuationSeparator" w:id="0">
    <w:p w14:paraId="3C93F9A8" w14:textId="77777777" w:rsidR="00273C24" w:rsidRDefault="00273C24" w:rsidP="00693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182115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4C575F6" w14:textId="0AF15694" w:rsidR="00693ED0" w:rsidRPr="001F02FE" w:rsidRDefault="00693ED0">
        <w:pPr>
          <w:pStyle w:val="Pta"/>
          <w:jc w:val="center"/>
          <w:rPr>
            <w:rFonts w:ascii="Arial" w:hAnsi="Arial" w:cs="Arial"/>
            <w:sz w:val="20"/>
            <w:szCs w:val="20"/>
          </w:rPr>
        </w:pPr>
        <w:r w:rsidRPr="001F02FE">
          <w:rPr>
            <w:rFonts w:ascii="Arial" w:hAnsi="Arial" w:cs="Arial"/>
            <w:sz w:val="20"/>
            <w:szCs w:val="20"/>
          </w:rPr>
          <w:fldChar w:fldCharType="begin"/>
        </w:r>
        <w:r w:rsidRPr="001F02FE">
          <w:rPr>
            <w:rFonts w:ascii="Arial" w:hAnsi="Arial" w:cs="Arial"/>
            <w:sz w:val="20"/>
            <w:szCs w:val="20"/>
          </w:rPr>
          <w:instrText>PAGE   \* MERGEFORMAT</w:instrText>
        </w:r>
        <w:r w:rsidRPr="001F02FE">
          <w:rPr>
            <w:rFonts w:ascii="Arial" w:hAnsi="Arial" w:cs="Arial"/>
            <w:sz w:val="20"/>
            <w:szCs w:val="20"/>
          </w:rPr>
          <w:fldChar w:fldCharType="separate"/>
        </w:r>
        <w:r w:rsidR="00B04D85">
          <w:rPr>
            <w:rFonts w:ascii="Arial" w:hAnsi="Arial" w:cs="Arial"/>
            <w:noProof/>
            <w:sz w:val="20"/>
            <w:szCs w:val="20"/>
          </w:rPr>
          <w:t>3</w:t>
        </w:r>
        <w:r w:rsidRPr="001F02F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2370C17" w14:textId="77777777" w:rsidR="00693ED0" w:rsidRDefault="00693E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F5907" w14:textId="77777777" w:rsidR="00273C24" w:rsidRDefault="00273C24" w:rsidP="00693ED0">
      <w:pPr>
        <w:spacing w:after="0" w:line="240" w:lineRule="auto"/>
      </w:pPr>
      <w:r>
        <w:separator/>
      </w:r>
    </w:p>
  </w:footnote>
  <w:footnote w:type="continuationSeparator" w:id="0">
    <w:p w14:paraId="6C43638B" w14:textId="77777777" w:rsidR="00273C24" w:rsidRDefault="00273C24" w:rsidP="00693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0A4D"/>
    <w:multiLevelType w:val="hybridMultilevel"/>
    <w:tmpl w:val="AE880C46"/>
    <w:lvl w:ilvl="0" w:tplc="2BBE84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B320E"/>
    <w:multiLevelType w:val="hybridMultilevel"/>
    <w:tmpl w:val="0024A138"/>
    <w:lvl w:ilvl="0" w:tplc="313E69EC">
      <w:start w:val="8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905B4"/>
    <w:multiLevelType w:val="hybridMultilevel"/>
    <w:tmpl w:val="84D4424E"/>
    <w:lvl w:ilvl="0" w:tplc="041B0011">
      <w:start w:val="1"/>
      <w:numFmt w:val="decimal"/>
      <w:lvlText w:val="%1)"/>
      <w:lvlJc w:val="left"/>
      <w:pPr>
        <w:ind w:left="157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2292" w:hanging="360"/>
      </w:pPr>
    </w:lvl>
    <w:lvl w:ilvl="2" w:tplc="041B001B" w:tentative="1">
      <w:start w:val="1"/>
      <w:numFmt w:val="lowerRoman"/>
      <w:lvlText w:val="%3."/>
      <w:lvlJc w:val="right"/>
      <w:pPr>
        <w:ind w:left="3012" w:hanging="180"/>
      </w:pPr>
    </w:lvl>
    <w:lvl w:ilvl="3" w:tplc="041B000F" w:tentative="1">
      <w:start w:val="1"/>
      <w:numFmt w:val="decimal"/>
      <w:lvlText w:val="%4."/>
      <w:lvlJc w:val="left"/>
      <w:pPr>
        <w:ind w:left="3732" w:hanging="360"/>
      </w:pPr>
    </w:lvl>
    <w:lvl w:ilvl="4" w:tplc="041B0019" w:tentative="1">
      <w:start w:val="1"/>
      <w:numFmt w:val="lowerLetter"/>
      <w:lvlText w:val="%5."/>
      <w:lvlJc w:val="left"/>
      <w:pPr>
        <w:ind w:left="4452" w:hanging="360"/>
      </w:pPr>
    </w:lvl>
    <w:lvl w:ilvl="5" w:tplc="041B001B" w:tentative="1">
      <w:start w:val="1"/>
      <w:numFmt w:val="lowerRoman"/>
      <w:lvlText w:val="%6."/>
      <w:lvlJc w:val="right"/>
      <w:pPr>
        <w:ind w:left="5172" w:hanging="180"/>
      </w:pPr>
    </w:lvl>
    <w:lvl w:ilvl="6" w:tplc="041B000F" w:tentative="1">
      <w:start w:val="1"/>
      <w:numFmt w:val="decimal"/>
      <w:lvlText w:val="%7."/>
      <w:lvlJc w:val="left"/>
      <w:pPr>
        <w:ind w:left="5892" w:hanging="360"/>
      </w:pPr>
    </w:lvl>
    <w:lvl w:ilvl="7" w:tplc="041B0019" w:tentative="1">
      <w:start w:val="1"/>
      <w:numFmt w:val="lowerLetter"/>
      <w:lvlText w:val="%8."/>
      <w:lvlJc w:val="left"/>
      <w:pPr>
        <w:ind w:left="6612" w:hanging="360"/>
      </w:pPr>
    </w:lvl>
    <w:lvl w:ilvl="8" w:tplc="041B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" w15:restartNumberingAfterBreak="0">
    <w:nsid w:val="3CBE75CC"/>
    <w:multiLevelType w:val="hybridMultilevel"/>
    <w:tmpl w:val="94D07074"/>
    <w:lvl w:ilvl="0" w:tplc="8188DDA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DE65776"/>
    <w:multiLevelType w:val="hybridMultilevel"/>
    <w:tmpl w:val="13D2CB9C"/>
    <w:lvl w:ilvl="0" w:tplc="694E3EF2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7204C14"/>
    <w:multiLevelType w:val="hybridMultilevel"/>
    <w:tmpl w:val="C69CC4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617BC"/>
    <w:multiLevelType w:val="hybridMultilevel"/>
    <w:tmpl w:val="9C9EFE3E"/>
    <w:lvl w:ilvl="0" w:tplc="FE4674A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9F24F93"/>
    <w:multiLevelType w:val="hybridMultilevel"/>
    <w:tmpl w:val="09D6B814"/>
    <w:lvl w:ilvl="0" w:tplc="87764C36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C8651A6"/>
    <w:multiLevelType w:val="hybridMultilevel"/>
    <w:tmpl w:val="3362A60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9398D"/>
    <w:multiLevelType w:val="hybridMultilevel"/>
    <w:tmpl w:val="D0AA8A3C"/>
    <w:lvl w:ilvl="0" w:tplc="8CB476D8">
      <w:start w:val="1"/>
      <w:numFmt w:val="lowerLetter"/>
      <w:lvlText w:val="%1)"/>
      <w:lvlJc w:val="left"/>
      <w:pPr>
        <w:ind w:left="64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2" w:hanging="360"/>
      </w:pPr>
    </w:lvl>
    <w:lvl w:ilvl="2" w:tplc="041B001B" w:tentative="1">
      <w:start w:val="1"/>
      <w:numFmt w:val="lowerRoman"/>
      <w:lvlText w:val="%3."/>
      <w:lvlJc w:val="right"/>
      <w:pPr>
        <w:ind w:left="2082" w:hanging="180"/>
      </w:pPr>
    </w:lvl>
    <w:lvl w:ilvl="3" w:tplc="041B000F" w:tentative="1">
      <w:start w:val="1"/>
      <w:numFmt w:val="decimal"/>
      <w:lvlText w:val="%4."/>
      <w:lvlJc w:val="left"/>
      <w:pPr>
        <w:ind w:left="2802" w:hanging="360"/>
      </w:pPr>
    </w:lvl>
    <w:lvl w:ilvl="4" w:tplc="041B0019" w:tentative="1">
      <w:start w:val="1"/>
      <w:numFmt w:val="lowerLetter"/>
      <w:lvlText w:val="%5."/>
      <w:lvlJc w:val="left"/>
      <w:pPr>
        <w:ind w:left="3522" w:hanging="360"/>
      </w:pPr>
    </w:lvl>
    <w:lvl w:ilvl="5" w:tplc="041B001B" w:tentative="1">
      <w:start w:val="1"/>
      <w:numFmt w:val="lowerRoman"/>
      <w:lvlText w:val="%6."/>
      <w:lvlJc w:val="right"/>
      <w:pPr>
        <w:ind w:left="4242" w:hanging="180"/>
      </w:pPr>
    </w:lvl>
    <w:lvl w:ilvl="6" w:tplc="041B000F" w:tentative="1">
      <w:start w:val="1"/>
      <w:numFmt w:val="decimal"/>
      <w:lvlText w:val="%7."/>
      <w:lvlJc w:val="left"/>
      <w:pPr>
        <w:ind w:left="4962" w:hanging="360"/>
      </w:pPr>
    </w:lvl>
    <w:lvl w:ilvl="7" w:tplc="041B0019" w:tentative="1">
      <w:start w:val="1"/>
      <w:numFmt w:val="lowerLetter"/>
      <w:lvlText w:val="%8."/>
      <w:lvlJc w:val="left"/>
      <w:pPr>
        <w:ind w:left="5682" w:hanging="360"/>
      </w:pPr>
    </w:lvl>
    <w:lvl w:ilvl="8" w:tplc="041B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38B"/>
    <w:rsid w:val="00022FB7"/>
    <w:rsid w:val="00044C55"/>
    <w:rsid w:val="000606C4"/>
    <w:rsid w:val="00065803"/>
    <w:rsid w:val="000A3B2C"/>
    <w:rsid w:val="000E1EBF"/>
    <w:rsid w:val="000E3EE1"/>
    <w:rsid w:val="00135B59"/>
    <w:rsid w:val="00177AB1"/>
    <w:rsid w:val="001B6A27"/>
    <w:rsid w:val="001C0FA4"/>
    <w:rsid w:val="001D30FC"/>
    <w:rsid w:val="001E0AEC"/>
    <w:rsid w:val="001E5328"/>
    <w:rsid w:val="001F02FE"/>
    <w:rsid w:val="00227515"/>
    <w:rsid w:val="0027058B"/>
    <w:rsid w:val="00272BFD"/>
    <w:rsid w:val="00273C24"/>
    <w:rsid w:val="002E4F14"/>
    <w:rsid w:val="002F0A06"/>
    <w:rsid w:val="002F6D92"/>
    <w:rsid w:val="00344E4C"/>
    <w:rsid w:val="003615E7"/>
    <w:rsid w:val="00376CF7"/>
    <w:rsid w:val="00384160"/>
    <w:rsid w:val="003877E1"/>
    <w:rsid w:val="00390EE2"/>
    <w:rsid w:val="003D5D09"/>
    <w:rsid w:val="003E400D"/>
    <w:rsid w:val="00414BF2"/>
    <w:rsid w:val="00416810"/>
    <w:rsid w:val="00425B1C"/>
    <w:rsid w:val="00433A6F"/>
    <w:rsid w:val="004470D8"/>
    <w:rsid w:val="00454530"/>
    <w:rsid w:val="004552B0"/>
    <w:rsid w:val="004554D2"/>
    <w:rsid w:val="004B2370"/>
    <w:rsid w:val="005326DF"/>
    <w:rsid w:val="005623BF"/>
    <w:rsid w:val="00565AE8"/>
    <w:rsid w:val="005770B3"/>
    <w:rsid w:val="005848A7"/>
    <w:rsid w:val="005912D6"/>
    <w:rsid w:val="00595280"/>
    <w:rsid w:val="005C4A4D"/>
    <w:rsid w:val="005C54F2"/>
    <w:rsid w:val="005E0BDF"/>
    <w:rsid w:val="005E3D35"/>
    <w:rsid w:val="00637042"/>
    <w:rsid w:val="00642D9B"/>
    <w:rsid w:val="00662819"/>
    <w:rsid w:val="006665C3"/>
    <w:rsid w:val="0068221C"/>
    <w:rsid w:val="00682533"/>
    <w:rsid w:val="0068382E"/>
    <w:rsid w:val="00693ED0"/>
    <w:rsid w:val="006A1ADF"/>
    <w:rsid w:val="006A5898"/>
    <w:rsid w:val="006C5AAE"/>
    <w:rsid w:val="00734DB8"/>
    <w:rsid w:val="00783B67"/>
    <w:rsid w:val="007C6B04"/>
    <w:rsid w:val="008007DE"/>
    <w:rsid w:val="00803F93"/>
    <w:rsid w:val="00805BD1"/>
    <w:rsid w:val="00806E48"/>
    <w:rsid w:val="008269FE"/>
    <w:rsid w:val="00842F67"/>
    <w:rsid w:val="008563B2"/>
    <w:rsid w:val="00873216"/>
    <w:rsid w:val="008903F8"/>
    <w:rsid w:val="00890E8C"/>
    <w:rsid w:val="008967F0"/>
    <w:rsid w:val="008B53F1"/>
    <w:rsid w:val="008E476D"/>
    <w:rsid w:val="0092213C"/>
    <w:rsid w:val="00940C5B"/>
    <w:rsid w:val="00960DC0"/>
    <w:rsid w:val="00993946"/>
    <w:rsid w:val="009B2047"/>
    <w:rsid w:val="009C5FDD"/>
    <w:rsid w:val="009E6195"/>
    <w:rsid w:val="00A00DBF"/>
    <w:rsid w:val="00A21FB2"/>
    <w:rsid w:val="00A25693"/>
    <w:rsid w:val="00A4138B"/>
    <w:rsid w:val="00A51D36"/>
    <w:rsid w:val="00A5511D"/>
    <w:rsid w:val="00A81E51"/>
    <w:rsid w:val="00A862D5"/>
    <w:rsid w:val="00A87FCE"/>
    <w:rsid w:val="00B04D85"/>
    <w:rsid w:val="00B12CB0"/>
    <w:rsid w:val="00B210ED"/>
    <w:rsid w:val="00B62EE0"/>
    <w:rsid w:val="00BA4CED"/>
    <w:rsid w:val="00BD7E07"/>
    <w:rsid w:val="00BE2340"/>
    <w:rsid w:val="00BF140F"/>
    <w:rsid w:val="00BF66EF"/>
    <w:rsid w:val="00C5768F"/>
    <w:rsid w:val="00C82CF3"/>
    <w:rsid w:val="00C947B8"/>
    <w:rsid w:val="00C97D60"/>
    <w:rsid w:val="00CB66E9"/>
    <w:rsid w:val="00CC6490"/>
    <w:rsid w:val="00CE6909"/>
    <w:rsid w:val="00D23B0D"/>
    <w:rsid w:val="00D260DE"/>
    <w:rsid w:val="00D4149D"/>
    <w:rsid w:val="00D423BA"/>
    <w:rsid w:val="00D47353"/>
    <w:rsid w:val="00D546FD"/>
    <w:rsid w:val="00D55A5A"/>
    <w:rsid w:val="00D62EA6"/>
    <w:rsid w:val="00D636C5"/>
    <w:rsid w:val="00D771CF"/>
    <w:rsid w:val="00DA1383"/>
    <w:rsid w:val="00DB74AC"/>
    <w:rsid w:val="00DE2243"/>
    <w:rsid w:val="00DF6ECB"/>
    <w:rsid w:val="00E20F73"/>
    <w:rsid w:val="00E25063"/>
    <w:rsid w:val="00E55A72"/>
    <w:rsid w:val="00E63416"/>
    <w:rsid w:val="00E806CE"/>
    <w:rsid w:val="00E8713E"/>
    <w:rsid w:val="00EA14FA"/>
    <w:rsid w:val="00EA199B"/>
    <w:rsid w:val="00EA3BC2"/>
    <w:rsid w:val="00EA57C1"/>
    <w:rsid w:val="00EA6EAF"/>
    <w:rsid w:val="00EE35E6"/>
    <w:rsid w:val="00EE5897"/>
    <w:rsid w:val="00EE7619"/>
    <w:rsid w:val="00EF324A"/>
    <w:rsid w:val="00F12344"/>
    <w:rsid w:val="00F23F28"/>
    <w:rsid w:val="00F60497"/>
    <w:rsid w:val="00FA3D94"/>
    <w:rsid w:val="00FC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DA0F6"/>
  <w15:chartTrackingRefBased/>
  <w15:docId w15:val="{BF2C3CE2-6E25-4D5E-A174-2148CEB1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138B"/>
    <w:pPr>
      <w:ind w:left="720"/>
      <w:contextualSpacing/>
    </w:pPr>
  </w:style>
  <w:style w:type="table" w:styleId="Mriekatabuky">
    <w:name w:val="Table Grid"/>
    <w:basedOn w:val="Normlnatabuka"/>
    <w:uiPriority w:val="39"/>
    <w:rsid w:val="00A55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F6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F6D92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693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93ED0"/>
  </w:style>
  <w:style w:type="paragraph" w:styleId="Pta">
    <w:name w:val="footer"/>
    <w:basedOn w:val="Normlny"/>
    <w:link w:val="PtaChar"/>
    <w:uiPriority w:val="99"/>
    <w:unhideWhenUsed/>
    <w:rsid w:val="00693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93ED0"/>
  </w:style>
  <w:style w:type="character" w:styleId="Hypertextovprepojenie">
    <w:name w:val="Hyperlink"/>
    <w:basedOn w:val="Predvolenpsmoodseku"/>
    <w:uiPriority w:val="99"/>
    <w:unhideWhenUsed/>
    <w:rsid w:val="001F02FE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qFormat/>
    <w:rsid w:val="00B210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B210E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B210E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210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210ED"/>
    <w:rPr>
      <w:b/>
      <w:bCs/>
      <w:sz w:val="20"/>
      <w:szCs w:val="20"/>
    </w:rPr>
  </w:style>
  <w:style w:type="character" w:customStyle="1" w:styleId="normaltextrun">
    <w:name w:val="normaltextrun"/>
    <w:basedOn w:val="Predvolenpsmoodseku"/>
    <w:rsid w:val="005C4A4D"/>
  </w:style>
  <w:style w:type="paragraph" w:styleId="Normlnywebov">
    <w:name w:val="Normal (Web)"/>
    <w:basedOn w:val="Normlny"/>
    <w:uiPriority w:val="99"/>
    <w:rsid w:val="009E619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CTYWSUCD3UHA-405917165-173</_dlc_DocId>
    <_dlc_DocIdUrl xmlns="af457a4c-de28-4d38-bda9-e56a61b168cd">
      <Url>https://sp.vicepremier.gov.sk/verejne-obstaravanie-IKT/_layouts/15/DocIdRedir.aspx?ID=CTYWSUCD3UHA-405917165-173</Url>
      <Description>CTYWSUCD3UHA-405917165-173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3F41E91-9B23-4A4D-9C42-B059AE509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f457a4c-de28-4d38-bda9-e56a61b16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416E22-BAF1-4D97-A2B3-2C32A9E406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E4F9E4-EC8F-4D0E-95A5-D7802887FB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f457a4c-de28-4d38-bda9-e56a61b168cd"/>
  </ds:schemaRefs>
</ds:datastoreItem>
</file>

<file path=customXml/itemProps4.xml><?xml version="1.0" encoding="utf-8"?>
<ds:datastoreItem xmlns:ds="http://schemas.openxmlformats.org/officeDocument/2006/customXml" ds:itemID="{D4691D0F-CC55-468F-B116-3226A3C7C18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FLAW</Company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Hodossy</dc:creator>
  <cp:keywords/>
  <dc:description/>
  <cp:lastModifiedBy>MIRRI</cp:lastModifiedBy>
  <cp:revision>5</cp:revision>
  <dcterms:created xsi:type="dcterms:W3CDTF">2021-12-16T08:24:00Z</dcterms:created>
  <dcterms:modified xsi:type="dcterms:W3CDTF">2022-03-21T11:15:00Z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0x010100C1390DBB6B05DC49B9122DB2AD4543EF</vt:lpwstr>
  </property>
  <property fmtid="{D5CDD505-2E9C-101B-9397-08002B2CF9AE}" pid="3" name="_dlc_DocIdItemGuid">
    <vt:lpwstr>7a2c21d9-5ffc-4694-a584-7cae4a4aa732</vt:lpwstr>
  </property>
</Properties>
</file>